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</w:t>
      </w: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2022 года                                                                                     город Казань</w:t>
      </w:r>
    </w:p>
    <w:p w:rsidR="00C2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Дело № 1-5/2022</w:t>
      </w: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14 по Советскому судебному району города Казани Нуреева Д.Р.,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Мердиной</w:t>
      </w:r>
      <w:r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помощника прокурора Советского района города Казани Подольской Я.М.,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потерпевшей Кривошеевой Л.Е.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 Маслова А.В.,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защитника – адвоката Воробьева М.С., предоставившего удостоверение № 1895 и  ордер № 318635 от 17 февраля 2022 года,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А</w:t>
      </w:r>
      <w:r w:rsidR="006E0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E08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082B" w:rsidR="006E082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города Казани, гражданина Российской Федерации, имеющего средне-специальное образование, в браке не состоящего, не трудоустроенного</w:t>
      </w:r>
      <w:r w:rsidR="00F86CDF">
        <w:rPr>
          <w:rFonts w:ascii="Times New Roman" w:hAnsi="Times New Roman" w:cs="Times New Roman"/>
          <w:sz w:val="28"/>
          <w:szCs w:val="28"/>
        </w:rPr>
        <w:t>, имеющего на иждивении малолетних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 w:rsidRPr="006E082B" w:rsidR="006E082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судимого: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30 сентября 2017 года приговором Кировского районного суда города Казани, по пункту «в» части 2 статьи 158, пункту «а» части 3 статьи 158, пункту «а» части 3 статьи 158, пункту «а» части 3 статьи 158, пункту «а» части 3 статьи 158 УК РФ с применением части 3 статьи 69 УК РФ к лишению свободы сроком 2 года 1 месяц</w:t>
      </w:r>
      <w:r>
        <w:rPr>
          <w:rFonts w:ascii="Times New Roman" w:hAnsi="Times New Roman" w:cs="Times New Roman"/>
          <w:sz w:val="28"/>
          <w:szCs w:val="28"/>
        </w:rPr>
        <w:t xml:space="preserve">, освобожден 06 октября 2015 года условно-досрочно на </w:t>
      </w:r>
      <w:r>
        <w:rPr>
          <w:rFonts w:ascii="Times New Roman" w:hAnsi="Times New Roman" w:cs="Times New Roman"/>
          <w:sz w:val="28"/>
          <w:szCs w:val="28"/>
        </w:rPr>
        <w:t>неотбытый</w:t>
      </w:r>
      <w:r>
        <w:rPr>
          <w:rFonts w:ascii="Times New Roman" w:hAnsi="Times New Roman" w:cs="Times New Roman"/>
          <w:sz w:val="28"/>
          <w:szCs w:val="28"/>
        </w:rPr>
        <w:t xml:space="preserve"> срок 6 месяцев 24 дня;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24 июля 2019 года приговором </w:t>
      </w:r>
      <w:r>
        <w:rPr>
          <w:rFonts w:ascii="Times New Roman" w:hAnsi="Times New Roman" w:cs="Times New Roman"/>
          <w:sz w:val="28"/>
          <w:szCs w:val="28"/>
        </w:rPr>
        <w:t>Вахитовского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города Казани по пункту «в» части 2 статьи 158 УК РФ к лишению свободы сроком 6 месяцев, освобожден 23 января 2020 года по отбытии наказания;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29 декабря 2020 года приговором мирового судьи судебного участка № 7 по Советскому судебному району города Казани части 1 статьи 158 УК РФ с применением статьи 73 УК РФ к лишению свободы сроком 1 год условно с испытательным сроком 1 год,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обвиняемого в совершении преступления, предусмотренного частью 1 статьи 119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</w:t>
      </w: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Маслов А.В., находясь в алкогольном опьянении, 07.11.2021 примерно в 21 час 00 минут, в коридоре </w:t>
      </w:r>
      <w:r w:rsidRPr="006E082B" w:rsidR="006E082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на почве внезапно возникших личных неприязненных отношений, учинил скандал </w:t>
      </w:r>
      <w:r w:rsidRPr="006E082B" w:rsidR="006E082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подойдя к ней на близкое расстояние, путем выражения намерении лишить ее жизни и желая этого, умышленно, взяв в правую руку кухонный нож, высказывал в ее адрес угрозу </w:t>
      </w:r>
      <w:r>
        <w:rPr>
          <w:rFonts w:ascii="Times New Roman" w:hAnsi="Times New Roman" w:cs="Times New Roman"/>
          <w:sz w:val="28"/>
          <w:szCs w:val="28"/>
        </w:rPr>
        <w:t xml:space="preserve">убийством, выраженную словами: «Убью тебя, если уйдешь от меня!», после чего, воткнул кухонный нож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входную дверь квартиры, возле головы Кривошеевой Л.Е.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сложившейся ситуации </w:t>
      </w:r>
      <w:r w:rsidRPr="006E082B" w:rsidR="006E082B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восприняла угрозу Маслова А.В., как представляющую реальную опасность для ее жизни, поскольку он находился в состоянии алкогольного опьянения,  физически намного сильнее её, был настроен крайне агрессивно, все действия происходили в замкнутом пространстве.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высказывания угроз держал в руке кухонный нож, то есть свои слова подкреплял конкретными действиями, что свидетельствует о том, что он вполне мог осуществить свою угрозу.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Маслов А.В. в судебном заседании вину в совершении инкриминируемого преступления  признал, в содеянном раскаялся, при этом пояснил, что проживает с сожительницей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их детьми  по адресу: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07.11.2021 примерно в 21 час 00 минут находился в алкогольном опьянении,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1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 делать ему замечания.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Он стал  оскорблять ее, выражался в ее адрес нецензурной бранью, она сказала, что уйдет от него и вышла из кухни в коридор квартиры, он вышел за ней.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руках был кухонный нож, он стал </w:t>
      </w:r>
      <w:r>
        <w:rPr>
          <w:rFonts w:ascii="Times New Roman" w:hAnsi="Times New Roman" w:cs="Times New Roman"/>
          <w:sz w:val="28"/>
          <w:szCs w:val="28"/>
        </w:rPr>
        <w:t xml:space="preserve">выражать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</w:t>
      </w:r>
      <w:r w:rsidRPr="00E14091" w:rsidR="00E1409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слова ревности  и  нанес правой ладонью руки ей одну пощечину по левой щеке и одну пощечину по правой щеке, после чего нанес ей один удар головой в  живот. Взяв в правую руку нож он подошел к сожительнице вплотную к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 и сказал ей « Убью тебя, если уйдешь от меня!», после чего, воткнул кухонный нож возле ее головы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входную дверь квартиры. На шум из комнаты вышли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вместе с детьми ушла к соседке.</w:t>
      </w:r>
    </w:p>
    <w:p w:rsidR="00C238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E14091" w:rsidR="00E14091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E14091" w:rsidR="00E14091">
        <w:rPr>
          <w:rFonts w:ascii="Times New Roman" w:hAnsi="Times New Roman" w:cs="Times New Roman"/>
          <w:sz w:val="28"/>
          <w:szCs w:val="28"/>
        </w:rPr>
        <w:t>изъяты&gt;</w:t>
      </w:r>
      <w:r>
        <w:rPr>
          <w:rFonts w:ascii="Times New Roman" w:hAnsi="Times New Roman" w:cs="Times New Roman"/>
          <w:sz w:val="28"/>
          <w:szCs w:val="28"/>
        </w:rPr>
        <w:t xml:space="preserve"> в ходе судебного разбирательства показала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проживает по адресу: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с гражданским супругом Масловым А.В. и с их детьми.</w:t>
      </w:r>
      <w:r>
        <w:t xml:space="preserve">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07.11.2021 он</w:t>
      </w:r>
      <w:r w:rsidR="00E14091">
        <w:rPr>
          <w:rFonts w:ascii="Times New Roman" w:hAnsi="Times New Roman" w:cs="Times New Roman"/>
          <w:sz w:val="28"/>
          <w:szCs w:val="28"/>
        </w:rPr>
        <w:t>а зашла на кухню, где находился А.</w:t>
      </w:r>
      <w:r>
        <w:rPr>
          <w:rFonts w:ascii="Times New Roman" w:hAnsi="Times New Roman" w:cs="Times New Roman"/>
          <w:sz w:val="28"/>
          <w:szCs w:val="28"/>
        </w:rPr>
        <w:t xml:space="preserve"> в сильном алкогольном опьянении, он стал ее оскорблять нецензурной бранью, необоснованно ревновать ее, она вышла в коридор квартиры, он вышел за ней вышел и неожиданно для нее, нанес правой ладонью руки ей пощечины по обеим щекам, после чего нанес ей один удар головой в область ее живота, от чего она испытала сильную</w:t>
      </w:r>
      <w:r>
        <w:rPr>
          <w:rFonts w:ascii="Times New Roman" w:hAnsi="Times New Roman" w:cs="Times New Roman"/>
          <w:sz w:val="28"/>
          <w:szCs w:val="28"/>
        </w:rPr>
        <w:t xml:space="preserve"> физическую боль.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левой руке в это время у него был  кухонный нож, предназначенный для резки мяса, который он взял в правую руку и подошел к ней в плотную, на очень близкое расстояние, она в это время находилась в коридоре квартиры, возле входной двери, он продолжал ее оскорблять нецензурной бранью и сказал  « Убью тебя, если уйдешь от меня!», после чего  воткнул кухонный</w:t>
      </w:r>
      <w:r>
        <w:rPr>
          <w:rFonts w:ascii="Times New Roman" w:hAnsi="Times New Roman" w:cs="Times New Roman"/>
          <w:sz w:val="28"/>
          <w:szCs w:val="28"/>
        </w:rPr>
        <w:t xml:space="preserve"> нож возле ее головы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входную дверь квартиры. На шум из комнаты вышли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она вместе с детьми ушла к соседке.</w:t>
      </w:r>
    </w:p>
    <w:p w:rsidR="00E23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072">
        <w:rPr>
          <w:rFonts w:ascii="Times New Roman" w:hAnsi="Times New Roman" w:cs="Times New Roman"/>
          <w:sz w:val="28"/>
          <w:szCs w:val="28"/>
        </w:rPr>
        <w:t>По ходатайству государственного обвинителя при отсутствии возражений других участников процесса оглашены показания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после </w:t>
      </w:r>
      <w:r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которых она подтвердила их достоверность.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оговора Маслова А.В. потерпевшей не установлены, вследствие чего достоверность ее приведенных показаний не вызывает сомнений.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ее</w:t>
      </w:r>
      <w:r w:rsidR="00F57B25">
        <w:rPr>
          <w:rFonts w:ascii="Times New Roman" w:hAnsi="Times New Roman" w:cs="Times New Roman"/>
          <w:sz w:val="28"/>
          <w:szCs w:val="28"/>
        </w:rPr>
        <w:t xml:space="preserve"> показания согласуются с другими исследованными судом доказательствами.</w:t>
      </w:r>
    </w:p>
    <w:p w:rsidR="00C2381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при отсутствии возражений других участников процесса оглашены показания </w:t>
      </w:r>
      <w:r>
        <w:rPr>
          <w:rFonts w:ascii="Times New Roman" w:hAnsi="Times New Roman" w:cs="Times New Roman"/>
          <w:sz w:val="28"/>
          <w:szCs w:val="28"/>
        </w:rPr>
        <w:t>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091" w:rsidR="00E14091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14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 дознания. Так из его показаний следует, что он работает в должности участкового уполномоченного  ОП №13 «Азино-2» Управления МВД России по г. Казани, расположенном по ул. Фучика д.</w:t>
      </w:r>
      <w:r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 xml:space="preserve"> а Советского района г. Казани и обслуживает административную зону, в которую входят дом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07.11.2021  им была осмотрена квартира 102, расположенная в доме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 ходе</w:t>
      </w:r>
      <w:r w:rsidR="00AC71A5">
        <w:rPr>
          <w:rFonts w:ascii="Times New Roman" w:hAnsi="Times New Roman" w:cs="Times New Roman"/>
          <w:sz w:val="28"/>
          <w:szCs w:val="28"/>
        </w:rPr>
        <w:t xml:space="preserve"> осмотра места происшествия был</w:t>
      </w:r>
      <w:r>
        <w:rPr>
          <w:rFonts w:ascii="Times New Roman" w:hAnsi="Times New Roman" w:cs="Times New Roman"/>
          <w:sz w:val="28"/>
          <w:szCs w:val="28"/>
        </w:rPr>
        <w:t xml:space="preserve"> изъят кухонный нож, с поверхности холодильника на кухне, которыми, со слов Маслова А.В. и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Маслов А.В. </w:t>
      </w:r>
      <w:r>
        <w:rPr>
          <w:rFonts w:ascii="Times New Roman" w:hAnsi="Times New Roman" w:cs="Times New Roman"/>
          <w:sz w:val="28"/>
          <w:szCs w:val="28"/>
        </w:rPr>
        <w:t xml:space="preserve">угрожал убийством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</w:t>
      </w:r>
      <w:r w:rsidRPr="00DC3345" w:rsidR="00DC334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устной беседы </w:t>
      </w:r>
      <w:r w:rsidRPr="00DC3345" w:rsidR="00DC3345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DC3345" w:rsidR="00DC3345">
        <w:rPr>
          <w:rFonts w:ascii="Times New Roman" w:hAnsi="Times New Roman" w:cs="Times New Roman"/>
          <w:sz w:val="28"/>
          <w:szCs w:val="28"/>
        </w:rPr>
        <w:t>изъяты</w:t>
      </w:r>
      <w:r w:rsidRPr="00DC3345" w:rsidR="00DC334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07.11.2021 е</w:t>
      </w:r>
      <w:r w:rsidR="00AC71A5">
        <w:rPr>
          <w:rFonts w:ascii="Times New Roman" w:hAnsi="Times New Roman" w:cs="Times New Roman"/>
          <w:sz w:val="28"/>
          <w:szCs w:val="28"/>
        </w:rPr>
        <w:t>е сожитель Маслов А.В. в течение</w:t>
      </w:r>
      <w:r>
        <w:rPr>
          <w:rFonts w:ascii="Times New Roman" w:hAnsi="Times New Roman" w:cs="Times New Roman"/>
          <w:sz w:val="28"/>
          <w:szCs w:val="28"/>
        </w:rPr>
        <w:t xml:space="preserve"> дня употреблял алкоголь, на ее замечания не реагировал, Примерно в 21 ч</w:t>
      </w:r>
      <w:r w:rsidR="00AC71A5">
        <w:rPr>
          <w:rFonts w:ascii="Times New Roman" w:hAnsi="Times New Roman" w:cs="Times New Roman"/>
          <w:sz w:val="28"/>
          <w:szCs w:val="28"/>
        </w:rPr>
        <w:t>ас 00 минут 07.11.2021 она зашла</w:t>
      </w:r>
      <w:r>
        <w:rPr>
          <w:rFonts w:ascii="Times New Roman" w:hAnsi="Times New Roman" w:cs="Times New Roman"/>
          <w:sz w:val="28"/>
          <w:szCs w:val="28"/>
        </w:rPr>
        <w:t xml:space="preserve"> на кухню, где находился Маслов А.В. в сильном алкогольном опьянении, он стал ее оскорблять и ревновать, она вышла в коридор квартиры, за ней вышел Маслов А.В. и неожиданно для нее, нанес правой ладонью руки ей пощечины по обеим щекам, после чего нанес один удар головой в область живот, от чего она испытала сильную физическую боль. 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левой руке в это время у него был  кухонный нож, предназначенный для резки мяса, который Маслов А.В. взял в правую руку и подошел к ней в плотную, она в это время находилась в коридоре квартиры, возле входной двери, Маслов А.В. продолжал оскорблять ее нецензурной бранью и сказал  « Убью тебя, если уйдешь от меня!», после чего  воткнул кухонный</w:t>
      </w:r>
      <w:r>
        <w:rPr>
          <w:rFonts w:ascii="Times New Roman" w:hAnsi="Times New Roman" w:cs="Times New Roman"/>
          <w:sz w:val="28"/>
          <w:szCs w:val="28"/>
        </w:rPr>
        <w:t xml:space="preserve"> нож возле ее головы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входную дверь квартиры. На шум из комнаты вышли </w:t>
      </w: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и она вместе с детьми ушла к соседке из кв.101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при отсутствии возражений других участников процесса оглашены показания </w:t>
      </w:r>
      <w:r>
        <w:rPr>
          <w:rFonts w:ascii="Times New Roman" w:hAnsi="Times New Roman" w:cs="Times New Roman"/>
          <w:sz w:val="28"/>
          <w:szCs w:val="28"/>
        </w:rPr>
        <w:t>свидетеля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в ходе дознания. Так из ее показаний следует, что  07.11.2021 она </w:t>
      </w:r>
      <w:r>
        <w:rPr>
          <w:rFonts w:ascii="Times New Roman" w:hAnsi="Times New Roman" w:cs="Times New Roman"/>
          <w:sz w:val="28"/>
          <w:szCs w:val="28"/>
        </w:rPr>
        <w:t xml:space="preserve">находилась у себя дома по адресу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</w:t>
      </w:r>
      <w:r w:rsidRPr="00DC3345" w:rsidR="00DC334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, примерно в 21 час 00 минут 07.11.2021 услышала громкие голоса, доносящиеся из квартиры № 102, где проживают  Маслов А</w:t>
      </w:r>
      <w:r w:rsidR="00DC3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со своей сожительницей </w:t>
      </w:r>
      <w:r w:rsidRPr="00DC3345" w:rsidR="00DC3345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с детьми. Примерно в 21 час 10 минут 07.11.2021 </w:t>
      </w:r>
      <w:r w:rsidRPr="000D6672" w:rsidR="000D6672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0D6672" w:rsidR="000D6672">
        <w:rPr>
          <w:rFonts w:ascii="Times New Roman" w:hAnsi="Times New Roman" w:cs="Times New Roman"/>
          <w:sz w:val="28"/>
          <w:szCs w:val="28"/>
        </w:rPr>
        <w:t>изъяты&gt;</w:t>
      </w:r>
      <w:r w:rsidR="000D6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детьми пришла</w:t>
      </w:r>
      <w:r>
        <w:rPr>
          <w:rFonts w:ascii="Times New Roman" w:hAnsi="Times New Roman" w:cs="Times New Roman"/>
          <w:sz w:val="28"/>
          <w:szCs w:val="28"/>
        </w:rPr>
        <w:t xml:space="preserve"> к ней домой и пояснила, что Маслов А</w:t>
      </w:r>
      <w:r w:rsidR="000D66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почве ревности учинил скандал, угрожал ей убийством, при этом в руках держал кухонный нож, подробности данного происшествия ей  не рассказывала, она не спрашивала. </w:t>
      </w:r>
      <w:r>
        <w:rPr>
          <w:rFonts w:ascii="Times New Roman" w:hAnsi="Times New Roman" w:cs="Times New Roman"/>
          <w:sz w:val="28"/>
          <w:szCs w:val="28"/>
        </w:rPr>
        <w:t>Находясь у нее в квартире она позвонила в полицию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оговора Маслова А.В. свидетелями обвинения не установлены, вследствие чего достоверность их приведенных показаний не вызывает сомнений.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тому же их показания согласуются с другими исследованными судом доказательствами.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подсудимого в совершении инкриминируемого преступления, подтверждается исследованными в ходе судебного заседания материалами уголовного дела, которые судом признаются допустимыми доказательствами: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Pr="000D6672" w:rsidR="000D66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 котором она просит привлечь к уголовной ответственности Маслова А.В., который примерно в 21 час 00 минут 07.11.2021 высказывал с</w:t>
      </w:r>
      <w:r w:rsidR="00AC71A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ова угрозы убийством в ее адрес.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Протоколами осмотра места происшествия от 07.11.2021 года, согласно которому была осмотрена квартира№ 102 по адресу: </w:t>
      </w:r>
      <w:r w:rsidRPr="000D6672" w:rsidR="000D667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в ходе которого обнаружен и изъят кухонный нож, предметов от 11.11.2021, согласно которому осмотрен кухонный нож, очной ставкой между потерпевшей </w:t>
      </w:r>
      <w:r w:rsidRPr="000D6672" w:rsidR="000D6672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0D6672" w:rsidR="000D6672">
        <w:rPr>
          <w:rFonts w:ascii="Times New Roman" w:hAnsi="Times New Roman" w:cs="Times New Roman"/>
          <w:sz w:val="28"/>
          <w:szCs w:val="28"/>
        </w:rPr>
        <w:t>изъяты&gt;</w:t>
      </w:r>
      <w:r>
        <w:rPr>
          <w:rFonts w:ascii="Times New Roman" w:hAnsi="Times New Roman" w:cs="Times New Roman"/>
          <w:sz w:val="28"/>
          <w:szCs w:val="28"/>
        </w:rPr>
        <w:t xml:space="preserve"> и подсудимым Масловым А.В., в ходе которого каждый подтвердил свои первоначальные показания.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Нарушений закона при сборе доказательств, проведении следственных и иных процессуальных действий по делу, которые могли бы стать основанием для признания этих доказательств недопустимыми, не допущено.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дознание по делу проведено объективно и в полном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уголовного-процессуального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подсудимого Маслова А.В. подлежат квалификации по части 1 статьи 119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как угроза убийством, если имелись основания опасаться осуществления этой угрозы.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6 и 60  Уголовного кодекса Российской Федерации при назначении Маслову А.В. наказания за содеянное мировой судья учитывает характер и степень общественной опасности совершенного им преступления, обстоятельства его совершения, личность виновного, обстоятельства, смягчающие наказание, а также влияние назначенного наказания на исправление подсудимого и на условия жизни его семьи.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Смягчающими наказание обстоятельствами в соответствии с частью 2 статьи 61 Уголовного кодекса Российской Федерации мировой судья признает и учитывает при назначении Маслову А.В. наказания за совершенное преступление, признание Масловым А.В. вины,</w:t>
      </w:r>
      <w:r w:rsidR="00AC71A5">
        <w:rPr>
          <w:rFonts w:ascii="Times New Roman" w:hAnsi="Times New Roman" w:cs="Times New Roman"/>
          <w:sz w:val="28"/>
          <w:szCs w:val="28"/>
        </w:rPr>
        <w:t xml:space="preserve"> написание чистосердечного признания,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AC71A5">
        <w:rPr>
          <w:rFonts w:ascii="Times New Roman" w:hAnsi="Times New Roman" w:cs="Times New Roman"/>
          <w:sz w:val="28"/>
          <w:szCs w:val="28"/>
        </w:rPr>
        <w:t>аличие у него малолетних</w:t>
      </w:r>
      <w:r>
        <w:rPr>
          <w:rFonts w:ascii="Times New Roman" w:hAnsi="Times New Roman" w:cs="Times New Roman"/>
          <w:sz w:val="28"/>
          <w:szCs w:val="28"/>
        </w:rPr>
        <w:t xml:space="preserve"> детей, принесение им извинения потерпевшей,  состояние его здоровья, а также то, что он не состоит на учете у врача психиатра.</w:t>
      </w:r>
    </w:p>
    <w:p w:rsidR="00C2381A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исключительных обстоятельств, дающих основание применить при назначении Маслову А.В. наказания за содеянное положений статьи 64 Уголовного кодекса Российской Федерации, мировой судья не находит.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Отягчающим наказание обстоятельством в действиях Маслова А.В. мировой судья в соответствии с частью 1 статьи 63 УК РФ признает рецидив преступления.</w:t>
      </w:r>
    </w:p>
    <w:p w:rsidR="00E2307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F86C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суд не может признать в качестве отягчающего обстоятельства совершение Масловым А.В. преступления в состоянии алкогольного опьянения, поскольку, как видно из материалов уголовного дела, в ходе предварительного расследования не подтвержден факт влияния состояния опьянения на поведение при совершении подсудимым преступления, а само по себе совершение  Масловым А.В. преступления в состоянии опьянения, вызванного употреблением алкоголя, не является</w:t>
      </w:r>
      <w:r>
        <w:rPr>
          <w:rFonts w:ascii="Times New Roman" w:hAnsi="Times New Roman" w:cs="Times New Roman"/>
          <w:sz w:val="28"/>
          <w:szCs w:val="28"/>
        </w:rPr>
        <w:t xml:space="preserve"> единственным и достаточным основанием для признания такого состояния обстоятельством, отягчающим наказание.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предусмотренных законом обстоятельств, положений части 2 статьи 68  Уголовного кодекса Российской Федерации и санкции части 1 статьи 119 Уголовного кодекса Российской Федерации за совершенное преступление Маслову А.В. необходимо назначить наказание в виде лишения свободы, поскольку достижение в отношении него целей наказания, в том числе его исправление возможно при назначении ему этого вида наказания.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предусмотренных законом оснований для применения положений статьи 64, части 3 статьи 68 Уголовного кодекса Российской Федерации при назначении Маслову А.В. наказания мировой судья не находит.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отсутствие тяжких последствий в результате совершения Масловым А.В. преступления, совокупность установленных по делу смягчающих наказание обстоятельств, </w:t>
      </w:r>
      <w:r>
        <w:rPr>
          <w:rFonts w:ascii="Times New Roman" w:hAnsi="Times New Roman" w:cs="Times New Roman"/>
          <w:sz w:val="28"/>
          <w:szCs w:val="28"/>
        </w:rPr>
        <w:t>осужденному</w:t>
      </w:r>
      <w:r>
        <w:rPr>
          <w:rFonts w:ascii="Times New Roman" w:hAnsi="Times New Roman" w:cs="Times New Roman"/>
          <w:sz w:val="28"/>
          <w:szCs w:val="28"/>
        </w:rPr>
        <w:t xml:space="preserve"> возможно назначить условное </w:t>
      </w:r>
      <w:r>
        <w:rPr>
          <w:rFonts w:ascii="Times New Roman" w:hAnsi="Times New Roman" w:cs="Times New Roman"/>
          <w:sz w:val="28"/>
          <w:szCs w:val="28"/>
        </w:rPr>
        <w:t>наказание с возложением предусмотренных законом обязанностей, поскольку достижение в отношении него целей наказания возможно без его изоляции от общества.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 мировой судья считает возможным в соответствии с частью 4 статьи 74 УК РФ сохранить условное осуждение Маслова А.В. по приговору мирового судьи судебного участка № 7 по Советскому судебному району города </w:t>
      </w:r>
      <w:r>
        <w:rPr>
          <w:rFonts w:ascii="Times New Roman" w:hAnsi="Times New Roman" w:cs="Times New Roman"/>
          <w:sz w:val="28"/>
          <w:szCs w:val="28"/>
        </w:rPr>
        <w:t>Казани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новое преступление совершено им в период испытательного срока по предыдущему приговору.</w:t>
      </w:r>
    </w:p>
    <w:p w:rsidR="00C238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предыдущий приговор в отношении Маслова А.В. подлежит самостоятельному исполнению.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и, руководствуясь статьями 307-309 Уголовно-процессуального кодекса Российской Федерации, мировой судья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ПРИГОВОРИЛ:</w:t>
      </w:r>
    </w:p>
    <w:p w:rsidR="00C23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Маслова А</w:t>
      </w:r>
      <w:r w:rsidR="000D667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виновным в совершении преступления, предусмотренного частью 1 статьи 119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Федерации, по которой назначить ему наказание в виде лишения свободы сроком 1</w:t>
      </w:r>
      <w:r w:rsidR="00E23072">
        <w:rPr>
          <w:rFonts w:ascii="Times New Roman" w:hAnsi="Times New Roman" w:cs="Times New Roman"/>
          <w:sz w:val="28"/>
          <w:szCs w:val="28"/>
        </w:rPr>
        <w:t xml:space="preserve"> (один) 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73 УК РФ наказание назначить условно с испытательным сроком 1 год с возложением на Маслова А.В. обязанностей трудоустроиться, не менять постоянного места жительства без уведомления специализированного государственного органа, осуществляющего </w:t>
      </w:r>
      <w:r>
        <w:rPr>
          <w:rFonts w:ascii="Times New Roman" w:hAnsi="Times New Roman" w:cs="Times New Roman"/>
          <w:sz w:val="28"/>
          <w:szCs w:val="28"/>
        </w:rPr>
        <w:t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поведением условно осужденного, периодически являться в указанный орган для регистрации.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мирового судьи судебного участка № 7 по Советскому судебному району города Казани исполнять самостоятельно.</w:t>
      </w:r>
    </w:p>
    <w:p w:rsidR="004D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3F9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Советский районный суд города Казани в течение десяти  суток со дня провозглашени</w:t>
      </w:r>
      <w:r>
        <w:rPr>
          <w:rFonts w:ascii="Times New Roman" w:hAnsi="Times New Roman" w:cs="Times New Roman"/>
          <w:sz w:val="28"/>
          <w:szCs w:val="28"/>
        </w:rPr>
        <w:t xml:space="preserve">я, а осужденным Масловым А.В. </w:t>
      </w:r>
      <w:r w:rsidRPr="004D33F9">
        <w:rPr>
          <w:rFonts w:ascii="Times New Roman" w:hAnsi="Times New Roman" w:cs="Times New Roman"/>
          <w:sz w:val="28"/>
          <w:szCs w:val="28"/>
        </w:rPr>
        <w:t xml:space="preserve"> – в тот же срок со дня вручения ему копии приговора в соответствии с главой 45.1 Уголовно-процессуального кодекса Российской Федерации, но не ввиду несоответствие выводов суда, изложенных в приговоре, фактическим обстоятельствам уголовного дела, установленным судом первой</w:t>
      </w:r>
      <w:r w:rsidRPr="004D33F9">
        <w:rPr>
          <w:rFonts w:ascii="Times New Roman" w:hAnsi="Times New Roman" w:cs="Times New Roman"/>
          <w:sz w:val="28"/>
          <w:szCs w:val="28"/>
        </w:rPr>
        <w:t xml:space="preserve"> инстанции.</w:t>
      </w:r>
    </w:p>
    <w:p w:rsidR="00C238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Маслов А.В. вправе ходатайствовать об участии в заседании суда апелляционной инстанции.</w:t>
      </w:r>
    </w:p>
    <w:p w:rsidR="004D3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Мировой судья                               /подпись/                   Нуреева Д.Р.</w:t>
      </w:r>
    </w:p>
    <w:p w:rsidR="00C2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3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Мировой судья, копия верна.                                            Нуреева Д.Р.          </w:t>
      </w:r>
    </w:p>
    <w:sectPr w:rsidSect="004D33F9">
      <w:footerReference w:type="default" r:id="rId6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5638709"/>
      <w:docPartObj>
        <w:docPartGallery w:val="Page Numbers (Bottom of Page)"/>
        <w:docPartUnique/>
      </w:docPartObj>
    </w:sdtPr>
    <w:sdtContent>
      <w:p w:rsidR="00C238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72">
          <w:rPr>
            <w:noProof/>
          </w:rPr>
          <w:t>5</w:t>
        </w:r>
        <w:r>
          <w:fldChar w:fldCharType="end"/>
        </w:r>
      </w:p>
    </w:sdtContent>
  </w:sdt>
  <w:p w:rsidR="00C238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1A"/>
    <w:rsid w:val="000D6672"/>
    <w:rsid w:val="000F1730"/>
    <w:rsid w:val="000F6042"/>
    <w:rsid w:val="004A1223"/>
    <w:rsid w:val="004D33F9"/>
    <w:rsid w:val="00545416"/>
    <w:rsid w:val="006E082B"/>
    <w:rsid w:val="007A420A"/>
    <w:rsid w:val="00AC71A5"/>
    <w:rsid w:val="00BA00BD"/>
    <w:rsid w:val="00C2381A"/>
    <w:rsid w:val="00D21208"/>
    <w:rsid w:val="00DC3345"/>
    <w:rsid w:val="00E14091"/>
    <w:rsid w:val="00E23072"/>
    <w:rsid w:val="00F57B25"/>
    <w:rsid w:val="00F86CD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 w:themeColor="text1" w:themeTint="0D"/>
      </w:tcPr>
    </w:tblStylePr>
    <w:tblStylePr w:type="band1Horz">
      <w:tblPr/>
      <w:tcPr>
        <w:shd w:val="clear" w:color="F2F2F2" w:fill="auto" w:themeColor="text1" w:theme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1" w:theme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 w:themeColor="accen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 w:themeColor="accent1" w:theme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 w:themeColor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 w:themeColor="text1" w:theme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auto" w:themeColor="accent1" w:theme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 w:themeColor="accent1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 w:themeColor="accent1" w:theme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auto" w:themeColor="accent2" w:theme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uto" w:themeColor="accent3" w:theme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auto" w:themeColor="accent4" w:theme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auto" w:themeColor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auto" w:themeColor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auto" w:themeColor="text1" w:theme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 w:themeColor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band1Vert">
      <w:tblPr/>
      <w:tcPr>
        <w:shd w:val="clear" w:color="8A8A8A" w:fill="auto" w:themeColor="text1" w:themeTint="75"/>
      </w:tcPr>
    </w:tblStylePr>
    <w:tblStylePr w:type="band1Horz">
      <w:tblPr/>
      <w:tcPr>
        <w:shd w:val="clear" w:color="8A8A8A" w:fill="auto" w:themeColor="text1" w:theme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auto" w:themeColor="accent1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auto" w:themeColor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 w:themeColor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 w:themeColor="accent1"/>
      </w:tcPr>
    </w:tblStylePr>
    <w:tblStylePr w:type="band1Vert">
      <w:tblPr/>
      <w:tcPr>
        <w:shd w:val="clear" w:color="B3D0EB" w:fill="auto" w:themeColor="accent1" w:themeTint="75"/>
      </w:tcPr>
    </w:tblStylePr>
    <w:tblStylePr w:type="band1Horz">
      <w:tblPr/>
      <w:tcPr>
        <w:shd w:val="clear" w:color="B3D0EB" w:fill="auto" w:themeColor="accent1" w:theme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auto" w:themeColor="accent2" w:theme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auto" w:themeColor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band1Vert">
      <w:tblPr/>
      <w:tcPr>
        <w:shd w:val="clear" w:color="F6C3A0" w:fill="auto" w:themeColor="accent2" w:themeTint="75"/>
      </w:tcPr>
    </w:tblStylePr>
    <w:tblStylePr w:type="band1Horz">
      <w:tblPr/>
      <w:tcPr>
        <w:shd w:val="clear" w:color="F6C3A0" w:fill="auto" w:themeColor="accent2" w:theme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auto" w:themeColor="accent3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uto" w:themeColor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band1Vert">
      <w:tblPr/>
      <w:tcPr>
        <w:shd w:val="clear" w:color="D5D5D5" w:fill="auto" w:themeColor="accent3" w:themeTint="75"/>
      </w:tcPr>
    </w:tblStylePr>
    <w:tblStylePr w:type="band1Horz">
      <w:tblPr/>
      <w:tcPr>
        <w:shd w:val="clear" w:color="D5D5D5" w:fill="auto" w:themeColor="accent3" w:theme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auto" w:themeColor="accent4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auto" w:themeColor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band1Vert">
      <w:tblPr/>
      <w:tcPr>
        <w:shd w:val="clear" w:color="FFE28A" w:fill="auto" w:themeColor="accent4" w:themeTint="75"/>
      </w:tcPr>
    </w:tblStylePr>
    <w:tblStylePr w:type="band1Horz">
      <w:tblPr/>
      <w:tcPr>
        <w:shd w:val="clear" w:color="FFE28A" w:fill="auto" w:themeColor="accent4" w:theme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auto" w:themeColor="accent5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auto" w:themeColor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 w:themeColor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 w:themeColor="accent5"/>
      </w:tcPr>
    </w:tblStylePr>
    <w:tblStylePr w:type="band1Vert">
      <w:tblPr/>
      <w:tcPr>
        <w:shd w:val="clear" w:color="A9BEE4" w:fill="auto" w:themeColor="accent5" w:themeTint="75"/>
      </w:tcPr>
    </w:tblStylePr>
    <w:tblStylePr w:type="band1Horz">
      <w:tblPr/>
      <w:tcPr>
        <w:shd w:val="clear" w:color="A9BEE4" w:fill="auto" w:themeColor="accent5" w:theme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auto" w:themeColor="accent6" w:theme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auto" w:themeColor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band1Vert">
      <w:tblPr/>
      <w:tcPr>
        <w:shd w:val="clear" w:color="BCDBA8" w:fill="auto" w:themeColor="accent6" w:themeTint="75"/>
      </w:tcPr>
    </w:tblStylePr>
    <w:tblStylePr w:type="band1Horz">
      <w:tblPr/>
      <w:tcPr>
        <w:shd w:val="clear" w:color="BCDBA8" w:fill="auto" w:themeColor="accent6" w:theme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auto" w:themeColor="text1" w:theme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auto" w:themeColor="accent1" w:theme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auto" w:themeColor="accent1" w:theme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auto" w:themeColor="accent1" w:theme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auto" w:themeColor="accent2" w:theme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auto" w:themeColor="accent3" w:theme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auto" w:themeColor="accent4" w:theme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auto" w:themeColor="accent5" w:theme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auto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tblPr/>
      <w:tcPr>
        <w:shd w:val="clear" w:color="BFBFBF" w:fill="auto" w:themeColor="text1" w:theme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 w:themeColor="accent1" w:themeTint="40"/>
      </w:tcPr>
    </w:tblStylePr>
    <w:tblStylePr w:type="band1Horz">
      <w:tblPr/>
      <w:tcPr>
        <w:shd w:val="clear" w:color="D5E5F4" w:fill="auto" w:themeColor="accent1" w:theme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 w:themeColor="accent2" w:themeTint="40"/>
      </w:tcPr>
    </w:tblStylePr>
    <w:tblStylePr w:type="band1Horz">
      <w:tblPr/>
      <w:tcPr>
        <w:shd w:val="clear" w:color="FADECB" w:fill="auto" w:themeColor="accent2" w:theme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 w:themeColor="accent3" w:themeTint="40"/>
      </w:tcPr>
    </w:tblStylePr>
    <w:tblStylePr w:type="band1Horz">
      <w:tblPr/>
      <w:tcPr>
        <w:shd w:val="clear" w:color="E8E8E8" w:fill="auto" w:themeColor="accent3" w:theme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 w:themeColor="accent4" w:themeTint="40"/>
      </w:tcPr>
    </w:tblStylePr>
    <w:tblStylePr w:type="band1Horz">
      <w:tblPr/>
      <w:tcPr>
        <w:shd w:val="clear" w:color="FFEFBF" w:fill="auto" w:themeColor="accent4" w:theme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 w:themeColor="accent5" w:themeTint="40"/>
      </w:tcPr>
    </w:tblStylePr>
    <w:tblStylePr w:type="band1Horz">
      <w:tblPr/>
      <w:tcPr>
        <w:shd w:val="clear" w:color="CFDBF0" w:fill="auto" w:themeColor="accent5" w:theme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 w:themeColor="accent6" w:themeTint="40"/>
      </w:tcPr>
    </w:tblStylePr>
    <w:tblStylePr w:type="band1Horz">
      <w:tblPr/>
      <w:tcPr>
        <w:shd w:val="clear" w:color="DAEBCF" w:fill="auto" w:themeColor="accent6" w:theme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 w:themeColor="accen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 w:themeColor="accent1" w:theme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 w:themeColor="accent5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 w:themeColor="accent5" w:theme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 w:themeColor="accent2" w:theme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 w:themeColor="accent3" w:theme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 w:themeColor="accent4" w:theme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 w:themeColor="accent5" w:theme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 w:themeColor="accent6" w:theme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 w:themeColor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 w:themeColor="text1" w:theme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 w:themeColor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 w:themeColor="accent1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 w:themeColor="accent1" w:theme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 w:themeColor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 w:themeColor="accent2" w:theme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 w:themeColor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 w:themeColor="accent3" w:theme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 w:themeColor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 w:themeColor="accent4" w:theme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 w:themeColor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 w:themeColor="accent5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 w:themeColor="accent5" w:theme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 w:themeColor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 w:themeColor="accent6" w:theme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auto" w:themeColor="text1" w:theme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auto" w:themeColor="text1" w:theme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 w:themeColor="text1" w:theme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 w:themeColor="text1" w:theme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auto" w:themeColor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auto" w:themeColor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auto" w:themeColor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 w:themeColor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auto" w:themeColor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auto" w:themeColor="accent2" w:theme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auto" w:themeColor="accent2" w:theme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auto" w:themeColor="accent2" w:theme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 w:themeColor="accent2" w:theme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auto" w:themeColor="accent2" w:theme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auto" w:themeColor="accent3" w:theme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auto" w:themeColor="accent3" w:theme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auto" w:themeColor="accent3" w:theme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 w:themeColor="accent3" w:theme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auto" w:themeColor="accent3" w:theme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auto" w:themeColor="accent4" w:theme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auto" w:themeColor="accent4" w:theme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auto" w:themeColor="accent4" w:theme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 w:themeColor="accent4" w:theme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auto" w:themeColor="accent4" w:theme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auto" w:themeColor="accent5" w:theme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auto" w:themeColor="accent5" w:theme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auto" w:themeColor="accent5" w:theme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 w:themeColor="accent5" w:theme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auto" w:themeColor="accent5" w:theme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uto" w:themeColor="accent6" w:theme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uto" w:themeColor="accent6" w:theme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uto" w:themeColor="accent6" w:theme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 w:themeColor="accent6" w:theme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uto" w:themeColor="accent6" w:theme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auto" w:themeColor="accent1" w:theme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auto" w:themeColor="accent5" w:theme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 w:themeColor="text1" w:theme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auto" w:themeColor="accent1" w:theme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auto" w:themeColor="accent1" w:theme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auto" w:themeColor="accent2" w:theme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auto" w:themeColor="accent2" w:theme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auto" w:themeColor="accent3" w:theme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auto" w:themeColor="accent3" w:theme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auto" w:themeColor="accent4" w:theme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auto" w:themeColor="accent4" w:theme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auto" w:themeColor="accent5" w:theme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auto" w:themeColor="accent5" w:theme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auto" w:themeColor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 w:themeColor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auto" w:themeColor="accent6" w:theme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auto" w:themeColor="accent6" w:theme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 w:themeColor="accent1" w:theme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 w:themeColor="accent1" w:theme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 w:themeColor="text1" w:theme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 w:themeColor="text1" w:theme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 w:themeColor="accent1" w:theme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 w:themeColor="accent1" w:theme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 w:themeColor="accent1" w:theme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 w:themeColor="accent2" w:theme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 w:themeColor="accent2" w:theme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 w:themeColor="accent3" w:theme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 w:themeColor="accent3" w:theme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 w:themeColor="accent4" w:theme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 w:themeColor="accent4" w:theme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 w:themeColor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 w:themeColor="accent5" w:theme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 w:themeColor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 w:themeColor="accent6" w:theme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DefaultParagraphFont"/>
    <w:link w:val="BodyTextIndent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Header">
    <w:name w:val="head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9B5F0B7-D9E3-431A-8F6B-ECF3261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