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дело № 1-4\2022</w:t>
      </w:r>
    </w:p>
    <w:p w:rsidR="00E04988">
      <w:pPr>
        <w:pStyle w:val="Heading1"/>
        <w:rPr>
          <w:sz w:val="28"/>
          <w:szCs w:val="28"/>
        </w:rPr>
      </w:pPr>
    </w:p>
    <w:p w:rsidR="00E0498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ПРИГОВОР</w:t>
      </w:r>
    </w:p>
    <w:p w:rsidR="00E0498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РОСИИЙСКОЙ ФЕДЕРАЦИИ</w:t>
      </w:r>
    </w:p>
    <w:p w:rsidR="00E04988">
      <w:pPr>
        <w:jc w:val="center"/>
        <w:rPr>
          <w:sz w:val="28"/>
          <w:szCs w:val="28"/>
        </w:rPr>
      </w:pPr>
    </w:p>
    <w:p w:rsidR="00E04988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                                                                                 город Казань</w:t>
      </w:r>
    </w:p>
    <w:p w:rsidR="00E04988">
      <w:pPr>
        <w:jc w:val="center"/>
        <w:rPr>
          <w:sz w:val="28"/>
          <w:szCs w:val="28"/>
        </w:rPr>
      </w:pP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№14 по Советскому судебному району города Казани Нуреевой Д.Р.,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Мердиной</w:t>
      </w:r>
      <w:r>
        <w:rPr>
          <w:sz w:val="28"/>
          <w:szCs w:val="28"/>
        </w:rPr>
        <w:t xml:space="preserve"> А.С.,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 – помощника прокурора Советского района города Казани Подольской Я.М.,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адвоката Воробьева М.С.,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Тюленева В.А.,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Тюленева В</w:t>
      </w:r>
      <w:r w:rsidR="00876C0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76C0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76C07" w:rsidR="00876C07">
        <w:rPr>
          <w:sz w:val="28"/>
          <w:szCs w:val="28"/>
        </w:rPr>
        <w:t>&lt;</w:t>
      </w:r>
      <w:r w:rsidR="00876C07">
        <w:rPr>
          <w:sz w:val="28"/>
          <w:szCs w:val="28"/>
        </w:rPr>
        <w:t>данные изъяты</w:t>
      </w:r>
      <w:r w:rsidRPr="00876C07" w:rsidR="00876C0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города </w:t>
      </w:r>
      <w:r w:rsidRPr="00876C07" w:rsidR="00876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</w:t>
      </w:r>
      <w:r w:rsidRPr="00876C07" w:rsidR="00876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имеющего среднее образование, состоящего в браке, являющегося инвалидом 1 группы, зарегистрированного и проживающего по адресу: </w:t>
      </w:r>
      <w:r w:rsidRPr="00876C07" w:rsidR="00876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ранее не судимого, обвиняемого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четырех преступлений, предусмотренных статьями 322.3 УК РФ,</w:t>
      </w:r>
    </w:p>
    <w:p w:rsidR="00E04988">
      <w:pPr>
        <w:jc w:val="center"/>
        <w:rPr>
          <w:sz w:val="28"/>
          <w:szCs w:val="28"/>
        </w:rPr>
      </w:pPr>
    </w:p>
    <w:p w:rsidR="00E0498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4988">
      <w:pPr>
        <w:jc w:val="center"/>
        <w:rPr>
          <w:sz w:val="28"/>
          <w:szCs w:val="28"/>
        </w:rPr>
      </w:pP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Тюленев В.А. в период времени с 06 марта по 01 октября 2020 года осуществил фиктивную постановку на учет иностранных граждан по месту пребывания в Российской Федерации при следующих обстоятельствах.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06 марта 2020 года около 09 часов Тюленев В.А., находясь в Приволжском отделе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расположенном в доме № 74 по улице Авангардная города Казани, действуя умышленно, заведомо зная, что не имеет возможности разместить в квартире, находящейся по адресу: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дополнительных жильцов, и, более того, не имея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намерения предоставить кому-либо данное жилое помещение, где он был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после чего заполнил бланки уведомления о прибытии данных иностранцев в место пребывания за №№ 140263,140265 и 140264, в которых указал себя в качестве принимающей стороны, заведомо зная, что указанные иностранные граждане</w:t>
      </w:r>
      <w:r>
        <w:rPr>
          <w:sz w:val="28"/>
          <w:szCs w:val="28"/>
        </w:rPr>
        <w:t xml:space="preserve"> по месту, указанному им в уведомлениях, проживать не будут, а затем передал документы в указанное учреждение, а отрывные талоны уведомлений передал указанным иностранцам.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этого, 02 июня 2020 года около 09 часов Тюленев В.А., действуя в продолжение реализации своего преступного умысла, находясь в отделе по вопросам миграции Управления МВД России по городу Казани, расположенном в доме № 8/2 по улице Чехова города Казани, заведомо зная, что не имеет возможности разместить в квартире, находящейся по адресу: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дополнительных жильцов, и, более того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намерения предоставить кому-либо данное жилое помещение, где он был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после чего заполнил бланки уведомления о прибытии данных иностранцев в место пребывания за №№ 202569, 602027 и 602028, в которых указал себя в качестве принимающей стороны, заведомо зная, что</w:t>
      </w:r>
      <w:r>
        <w:rPr>
          <w:sz w:val="28"/>
          <w:szCs w:val="28"/>
        </w:rPr>
        <w:t xml:space="preserve"> указанные иностранные граждане по месту, указанному им в уведомлениях, проживать не будут, а затем передал документы в указанный государственный орган, а отрывные талоны уведомлений передал указанным иностранцам.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дальнейшем, а именно 31 августа 2020 года около 09 часов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действуя в продолжение реализации своего преступного умысла, находясь в отделе по вопросам миграции Управления МВД России по городу Казани, расположенном в доме № 8/2 по улице Чехова города Казани, заведомо зная, что не имеет возможности разместить в квартире, находящейся по адресу: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дополнительных жильцов, и, 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не имея намерения предоставить кому-либо данное жилое помещение, где он был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</w:t>
      </w:r>
      <w:r w:rsidRPr="00E23250" w:rsidR="00E2325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после чего заполнил бланки уведомления о прибытии данных иностранцев в место пребывания за №№ 251033 и 405336, в которых указал себя в качестве принимающей стороны, заведомо зная, что указанные иностранные</w:t>
      </w:r>
      <w:r>
        <w:rPr>
          <w:sz w:val="28"/>
          <w:szCs w:val="28"/>
        </w:rPr>
        <w:t xml:space="preserve"> граждане по месту, указанному им в уведомлениях, проживать не будут, а затем передал документы в указанный государственный орган, а отрывные талоны уведомлений передал указанным иностранцам.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Затем, 01 октября 2020 года около 09 часов Тюленев В.А., действуя в продолжение реализации своего преступного умысла, находясь в отделе по вопросам миграции Управления МВД России по городу Казани, расположенном в доме № 8/2 по улице Чехова города Казани, заведомо зная, что не имеет возможности разместить в квартире, находящейся по адресу: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дополнительных жильцов, и, более того,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имея намерения предоставить кому-либо данное жилое помещение, где он был зарегистрирован, преследуя цель извлечения незаконной материальной выгоды, получил документы на имя граждан Республики Узбекистан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после чего заполнил бланки уведомления о прибытии данных иностранцев в место пребывания за №№ 603635, 405913 и 651124, в которых указал себя в качестве принимающей стороны, заведомо зная, что указанные</w:t>
      </w:r>
      <w:r>
        <w:rPr>
          <w:sz w:val="28"/>
          <w:szCs w:val="28"/>
        </w:rPr>
        <w:t xml:space="preserve"> иностранные граждане по месту, указанному им в уведомлениях, проживать не будут, а затем передал документы в указанный </w:t>
      </w:r>
      <w:r>
        <w:rPr>
          <w:sz w:val="28"/>
          <w:szCs w:val="28"/>
        </w:rPr>
        <w:t>государственный орган, а отрывные талоны уведомлений передал указанным иностранцам.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Тюленев В.А., выступая в соответствии с пунктом 7 статьи 2 Федерального закона Российской Федерации от 18 июля 2016 года № 109-ФЗ «О миграционном учете иностранных граждан и лиц без гражданства в Российской Федерации» в качестве принимающей стороны, в нарушение требований статьи 2 названного закона, устанавливающих запрет на постановку иностранного гражданина на учет по месту пребывания на основании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заведомо недостоверных сведений или документов, либо постановку иностранного гражданина на учет по месту пребывания в жилом помещении без их намерения фактически проживать в это</w:t>
      </w:r>
      <w:r w:rsidR="00866492">
        <w:rPr>
          <w:sz w:val="28"/>
          <w:szCs w:val="28"/>
        </w:rPr>
        <w:t>м</w:t>
      </w:r>
      <w:r>
        <w:rPr>
          <w:sz w:val="28"/>
          <w:szCs w:val="28"/>
        </w:rPr>
        <w:t xml:space="preserve"> помещении или без намерения принимающей стороны предоставить ему это помещение для фактического проживания, осуществил фиктивную постановку на учет по месту пребывания в Российской Федерации иностранных граждан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Тюленев В.А. вину в предъявленном обвинении не признал и показал, что квартира, расположенная по адресу: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где он зарегистрирован и проживает с супругой и сыном, принадлежит им на праве общей долевой собственности. 2005 года поддерживает дружеские отношения с гражданами Республики Узбекистан, которые ежегодно в марте месяце приезжают в Республику Татарстан для осуществления трудовой деятельности на</w:t>
      </w:r>
      <w:r>
        <w:rPr>
          <w:sz w:val="28"/>
          <w:szCs w:val="28"/>
        </w:rPr>
        <w:t xml:space="preserve"> строящихся объектах, где они и проживают. </w:t>
      </w:r>
      <w:r>
        <w:rPr>
          <w:sz w:val="28"/>
          <w:szCs w:val="28"/>
        </w:rPr>
        <w:t xml:space="preserve">В периоды времени, когда нет работы, данные иностранцы с его разрешения проживают в строящемся доме, находящемся по адресу: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 Поскольку им понадобилась регистрация по месту пребывания, оказал им помощь и зарегистрировал их в указанной квартире сроком на три месяца, хотя в действительности в этом жилом помещении иностранцы никогда не проживали.</w:t>
      </w:r>
      <w:r>
        <w:rPr>
          <w:sz w:val="28"/>
          <w:szCs w:val="28"/>
        </w:rPr>
        <w:t xml:space="preserve"> Денежного вознаграждения за регистрацию с данных граждан он не получал, они производили строительные работы в указанном строящемся доме, где они фактически проживали.</w:t>
      </w:r>
    </w:p>
    <w:p w:rsidR="00E0498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непризнание Тюленевым В.А. своей </w:t>
      </w:r>
      <w:r>
        <w:rPr>
          <w:sz w:val="28"/>
          <w:szCs w:val="28"/>
        </w:rPr>
        <w:t>вины, представленные стороной обвинения и исследованные судом доказательства подтверждают</w:t>
      </w:r>
      <w:r>
        <w:rPr>
          <w:sz w:val="28"/>
          <w:szCs w:val="28"/>
        </w:rPr>
        <w:t xml:space="preserve"> его виновность в совершении указанного преступления.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свидетель </w:t>
      </w:r>
      <w:r w:rsidRPr="00A7155A" w:rsidR="00A7155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занимающая должность начальника отделения по работе с иностранными гражданами отдела по вопросам миграции Управления МВД России по городу Казани, в ходе дознания показала, что гражданам России не может быть отказано в постановке на миграционный учет иностранных граждан по месту их пребывания. Однако ответственность за достоверность предоставленных при этом сведений возлагается на принимающую сторону. </w:t>
      </w:r>
      <w:r>
        <w:rPr>
          <w:sz w:val="28"/>
          <w:szCs w:val="28"/>
        </w:rPr>
        <w:t xml:space="preserve">Тюленевым В.А., выступавшим в качестве принимающей стороны, в период с 06 марта по 01 октября 2020 года в Приволжский отдел ГБУ «Многофункциональный центр предоставления государственных и муниципальных услуг в Республике Татарстан» и в отдел по вопросам миграции Управления МВД России по городу Казани поданы 11 уведомлений о постановке на учет иностранных граждан по адресу: </w:t>
      </w:r>
      <w:r w:rsidRPr="00A7155A" w:rsidR="00A7155A">
        <w:rPr>
          <w:sz w:val="28"/>
          <w:szCs w:val="28"/>
        </w:rPr>
        <w:t xml:space="preserve">&lt;данные </w:t>
      </w:r>
      <w:r w:rsidRPr="00A7155A" w:rsidR="00A7155A">
        <w:rPr>
          <w:sz w:val="28"/>
          <w:szCs w:val="28"/>
        </w:rPr>
        <w:t>изъяты&gt;</w:t>
      </w:r>
      <w:r>
        <w:rPr>
          <w:sz w:val="28"/>
          <w:szCs w:val="28"/>
        </w:rPr>
        <w:t>. После этого указанные</w:t>
      </w:r>
      <w:r>
        <w:rPr>
          <w:sz w:val="28"/>
          <w:szCs w:val="28"/>
        </w:rPr>
        <w:t xml:space="preserve"> Тюленевым В.А. в уведомлениях иностранные граждане были постановлены на миграционный учет по месту пребывания, то есть в указанной квартире, а также взяты на учет для последующего их контроля пребывания. При приеме документов о постановке на миграционный учет о прибытии граждан иностранного государства или лица без гражданства </w:t>
      </w:r>
      <w:r>
        <w:rPr>
          <w:sz w:val="28"/>
          <w:szCs w:val="28"/>
        </w:rPr>
        <w:t>в место пребывания</w:t>
      </w:r>
      <w:r>
        <w:rPr>
          <w:sz w:val="28"/>
          <w:szCs w:val="28"/>
        </w:rPr>
        <w:t xml:space="preserve"> в Российской Федерации необходимо присутствие принимавшей стороны, которое осуществляет постановка на учет иностранного гражданина по месту пребывания в Российской Федерации. Необходимости присутствия самих иностранных граждан при постановке их на миграционный учет о прибытии граждан иностранного государства или лица без гражданства </w:t>
      </w:r>
      <w:r>
        <w:rPr>
          <w:sz w:val="28"/>
          <w:szCs w:val="28"/>
        </w:rPr>
        <w:t>в место пребывания</w:t>
      </w:r>
      <w:r>
        <w:rPr>
          <w:sz w:val="28"/>
          <w:szCs w:val="28"/>
        </w:rPr>
        <w:t xml:space="preserve"> в Российской Федерации не имеется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57-61)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показаниям свидетеля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работающей участковым уполномоченным в отделе полиции № 13 «Азино-2» Управления МВД России по городу Казани, на досудебной стадии производства по уголовному делу, она, в том числе обслуживает</w:t>
      </w:r>
      <w:r w:rsidR="00866492">
        <w:rPr>
          <w:sz w:val="28"/>
          <w:szCs w:val="28"/>
        </w:rPr>
        <w:t xml:space="preserve"> территорию, где расположен дом</w:t>
      </w:r>
      <w:r>
        <w:rPr>
          <w:sz w:val="28"/>
          <w:szCs w:val="28"/>
        </w:rPr>
        <w:t xml:space="preserve"> № 15 по улице Академика Глушко города Казани. При исполнении своих служебных обязанностей она периодически посещает жителей данного дома, проводит обход населения, общается с жильцами. Поэтому она с уверенностью может сказать, что в период с 06 марта по 01 октября 2020 года иностранные граждане в квартире № 63 указанного дома, где в этот период проживал Тюленев В.А. со своей семьей, не проживали (т. 2,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27-29).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ходатайству государственного обвинителя при отсутствии возражений других участников процесса оглашены показания </w:t>
      </w:r>
      <w:r>
        <w:rPr>
          <w:sz w:val="28"/>
          <w:szCs w:val="28"/>
        </w:rPr>
        <w:t>свидетеля</w:t>
      </w:r>
      <w:r>
        <w:rPr>
          <w:sz w:val="28"/>
          <w:szCs w:val="28"/>
        </w:rPr>
        <w:t xml:space="preserve">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проживающего в доме № 15 по улице Академика Глушко города Казани, показавшего, что квартира № 63 расположена на одной лестничной площадке с его квартирой. С жильцами указанной квартиры он не знаком, но знает, что там проживают молодой парень славянской внешности и женщина. Иностранных граждан в квартире № 63, в том числе в период с 06 марта по 01 октября 2020 года он никогда не видел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51-53).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Свидетелем </w:t>
      </w:r>
      <w:r w:rsidRPr="00417B47" w:rsidR="00417B47">
        <w:rPr>
          <w:sz w:val="28"/>
          <w:szCs w:val="28"/>
        </w:rPr>
        <w:t xml:space="preserve">&lt;данные </w:t>
      </w:r>
      <w:r w:rsidRPr="00417B47" w:rsidR="00417B47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 в ходе дознания даны</w:t>
      </w:r>
      <w:r>
        <w:rPr>
          <w:sz w:val="28"/>
          <w:szCs w:val="28"/>
        </w:rPr>
        <w:t xml:space="preserve"> такие же по содержанию показания, что и свидетелем </w:t>
      </w:r>
      <w:r w:rsidRPr="00417B47" w:rsidR="00417B4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54-56).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показаний свидетеля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ходе дознания следует, что 04 марта 2020 года вместе с </w:t>
      </w:r>
      <w:r w:rsidRPr="00417B47" w:rsidR="00417B47">
        <w:rPr>
          <w:sz w:val="28"/>
          <w:szCs w:val="28"/>
        </w:rPr>
        <w:t xml:space="preserve">&lt;данные </w:t>
      </w:r>
      <w:r w:rsidRPr="00417B47" w:rsidR="00417B47">
        <w:rPr>
          <w:sz w:val="28"/>
          <w:szCs w:val="28"/>
        </w:rPr>
        <w:t>изъяты</w:t>
      </w:r>
      <w:r w:rsidRPr="00417B47" w:rsidR="00417B47">
        <w:rPr>
          <w:sz w:val="28"/>
          <w:szCs w:val="28"/>
        </w:rPr>
        <w:t>&gt;</w:t>
      </w:r>
      <w:r>
        <w:rPr>
          <w:sz w:val="28"/>
          <w:szCs w:val="28"/>
        </w:rPr>
        <w:t xml:space="preserve"> и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они приехали из Республики Узбекистан в Республику Татарстан на заработки, после чего в течение двух дней проживали дома у их знакомого Тюленева В.А. по адресу: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06 марта 2020 года Тюленев В.А. забрал у них паспорта и миграционные карты, чтобы зарегистрировать их по указанному адресу. После оформления всех документов Тюленев В.А. вернул им паспорта, миграционные карты и отрывные талоны уведомлений о прибытии иностранного гражданина или лица без гражданства в место пребывания. В этот же день Тюленев В.А. отвез их в строящийся дом, находящийся по адресу: </w:t>
      </w:r>
      <w:r w:rsidRPr="00417B47" w:rsidR="00417B4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По адресу: </w:t>
      </w:r>
      <w:r w:rsidRPr="00417B47" w:rsidR="00417B47">
        <w:rPr>
          <w:sz w:val="28"/>
          <w:szCs w:val="28"/>
        </w:rPr>
        <w:t>&lt;данные изъяты&gt;</w:t>
      </w:r>
      <w:r w:rsidR="00692B58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 06 марта по 01 октября 2</w:t>
      </w:r>
      <w:r w:rsidR="00866492">
        <w:rPr>
          <w:sz w:val="28"/>
          <w:szCs w:val="28"/>
        </w:rPr>
        <w:t>0</w:t>
      </w:r>
      <w:r>
        <w:rPr>
          <w:sz w:val="28"/>
          <w:szCs w:val="28"/>
        </w:rPr>
        <w:t xml:space="preserve">20 года они с </w:t>
      </w:r>
      <w:r w:rsidRPr="00692B58" w:rsidR="00692B58">
        <w:rPr>
          <w:sz w:val="28"/>
          <w:szCs w:val="28"/>
        </w:rPr>
        <w:t xml:space="preserve">&lt;данные </w:t>
      </w:r>
      <w:r w:rsidRPr="00692B58" w:rsidR="00692B58">
        <w:rPr>
          <w:sz w:val="28"/>
          <w:szCs w:val="28"/>
        </w:rPr>
        <w:t>изъяты</w:t>
      </w:r>
      <w:r w:rsidRPr="00692B58" w:rsidR="00692B58">
        <w:rPr>
          <w:sz w:val="28"/>
          <w:szCs w:val="28"/>
        </w:rPr>
        <w:t>&gt;</w:t>
      </w:r>
      <w:r>
        <w:rPr>
          <w:sz w:val="28"/>
          <w:szCs w:val="28"/>
        </w:rPr>
        <w:t xml:space="preserve"> и </w:t>
      </w:r>
      <w:r w:rsidRPr="00692B58" w:rsidR="00692B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не проживали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181-183).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свидетелей </w:t>
      </w:r>
      <w:r w:rsidRPr="00692B58" w:rsidR="00692B58">
        <w:rPr>
          <w:sz w:val="28"/>
          <w:szCs w:val="28"/>
        </w:rPr>
        <w:t xml:space="preserve">&lt;данные </w:t>
      </w:r>
      <w:r w:rsidRPr="00692B58" w:rsidR="00692B58">
        <w:rPr>
          <w:sz w:val="28"/>
          <w:szCs w:val="28"/>
        </w:rPr>
        <w:t>изъяты</w:t>
      </w:r>
      <w:r w:rsidRPr="00692B58" w:rsidR="00692B58">
        <w:rPr>
          <w:sz w:val="28"/>
          <w:szCs w:val="28"/>
        </w:rPr>
        <w:t>&gt;</w:t>
      </w:r>
      <w:r>
        <w:rPr>
          <w:sz w:val="28"/>
          <w:szCs w:val="28"/>
        </w:rPr>
        <w:t xml:space="preserve"> и </w:t>
      </w:r>
      <w:r w:rsidRPr="00692B58" w:rsidR="00692B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по своему содержанию аналогичны показаниям свидетеля </w:t>
      </w:r>
      <w:r w:rsidRPr="00692B58" w:rsidR="00692B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170-172, 192-194).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в качестве свидетеля был приглашен и опрошен </w:t>
      </w:r>
      <w:r w:rsidRPr="00692B58" w:rsidR="00692B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866492">
        <w:rPr>
          <w:sz w:val="28"/>
          <w:szCs w:val="28"/>
        </w:rPr>
        <w:t xml:space="preserve">являющийся сыном </w:t>
      </w:r>
      <w:r w:rsidRPr="00692B58" w:rsidR="00692B58">
        <w:rPr>
          <w:sz w:val="28"/>
          <w:szCs w:val="28"/>
        </w:rPr>
        <w:t>&lt;данные изъяты&gt;</w:t>
      </w:r>
      <w:r w:rsidR="008664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пояснил, </w:t>
      </w:r>
      <w:r w:rsidRPr="00846E21" w:rsidR="00846E21">
        <w:rPr>
          <w:sz w:val="28"/>
          <w:szCs w:val="28"/>
        </w:rPr>
        <w:t xml:space="preserve">что по адресу: </w:t>
      </w:r>
      <w:r w:rsidRPr="00692B58" w:rsidR="00692B58">
        <w:rPr>
          <w:sz w:val="28"/>
          <w:szCs w:val="28"/>
        </w:rPr>
        <w:t>&lt;данные изъяты&gt;</w:t>
      </w:r>
      <w:r w:rsidR="00692B58">
        <w:rPr>
          <w:sz w:val="28"/>
          <w:szCs w:val="28"/>
        </w:rPr>
        <w:t>,</w:t>
      </w:r>
      <w:r w:rsidRPr="00846E21" w:rsidR="00846E21">
        <w:rPr>
          <w:sz w:val="28"/>
          <w:szCs w:val="28"/>
        </w:rPr>
        <w:t xml:space="preserve"> проживает с супругой </w:t>
      </w:r>
      <w:r w:rsidRPr="00692B58" w:rsidR="00692B58">
        <w:rPr>
          <w:sz w:val="28"/>
          <w:szCs w:val="28"/>
        </w:rPr>
        <w:t>&lt;данные изъяты&gt;</w:t>
      </w:r>
      <w:r w:rsidR="00846E21">
        <w:rPr>
          <w:sz w:val="28"/>
          <w:szCs w:val="28"/>
        </w:rPr>
        <w:t>.</w:t>
      </w:r>
      <w:r w:rsidRPr="00846E21" w:rsidR="00846E21">
        <w:t xml:space="preserve"> </w:t>
      </w:r>
      <w:r w:rsidR="00866492">
        <w:rPr>
          <w:sz w:val="28"/>
          <w:szCs w:val="28"/>
        </w:rPr>
        <w:t>Так же пояснил, что у его</w:t>
      </w:r>
      <w:r w:rsidRPr="00846E21" w:rsidR="00846E21">
        <w:rPr>
          <w:sz w:val="28"/>
          <w:szCs w:val="28"/>
        </w:rPr>
        <w:t xml:space="preserve"> отца </w:t>
      </w:r>
      <w:r w:rsidRPr="00692B58" w:rsidR="00692B58">
        <w:rPr>
          <w:sz w:val="28"/>
          <w:szCs w:val="28"/>
        </w:rPr>
        <w:t xml:space="preserve">&lt;данные </w:t>
      </w:r>
      <w:r w:rsidRPr="00692B58" w:rsidR="00692B58">
        <w:rPr>
          <w:sz w:val="28"/>
          <w:szCs w:val="28"/>
        </w:rPr>
        <w:t>изъяты</w:t>
      </w:r>
      <w:r w:rsidRPr="00692B58" w:rsidR="00692B58">
        <w:rPr>
          <w:sz w:val="28"/>
          <w:szCs w:val="28"/>
        </w:rPr>
        <w:t>&gt;</w:t>
      </w:r>
      <w:r w:rsidRPr="00846E21" w:rsidR="00846E21">
        <w:rPr>
          <w:sz w:val="28"/>
          <w:szCs w:val="28"/>
        </w:rPr>
        <w:t xml:space="preserve"> есть друзья, которые проживают в Республике Узбекистан, с которыми он с 2005 года работал на  различных частных строительных объектах. А именно они занимались, ремонтом котте</w:t>
      </w:r>
      <w:r w:rsidR="00866492">
        <w:rPr>
          <w:sz w:val="28"/>
          <w:szCs w:val="28"/>
        </w:rPr>
        <w:t xml:space="preserve">джей. В 2008 году отец </w:t>
      </w:r>
      <w:r w:rsidRPr="00846E21" w:rsidR="00846E21">
        <w:rPr>
          <w:sz w:val="28"/>
          <w:szCs w:val="28"/>
        </w:rPr>
        <w:t xml:space="preserve"> при ремонтных раб</w:t>
      </w:r>
      <w:r w:rsidR="00866492">
        <w:rPr>
          <w:sz w:val="28"/>
          <w:szCs w:val="28"/>
        </w:rPr>
        <w:t xml:space="preserve">отах упал с крыши, после чего </w:t>
      </w:r>
      <w:r w:rsidRPr="00846E21" w:rsidR="00846E21">
        <w:rPr>
          <w:sz w:val="28"/>
          <w:szCs w:val="28"/>
        </w:rPr>
        <w:t xml:space="preserve"> стал инвалидом 1 группы. Также пояснил, что его отец Тюленев В.А.</w:t>
      </w:r>
      <w:r w:rsidR="00866492">
        <w:rPr>
          <w:sz w:val="28"/>
          <w:szCs w:val="28"/>
        </w:rPr>
        <w:t xml:space="preserve"> </w:t>
      </w:r>
      <w:r w:rsidRPr="00846E21" w:rsidR="00846E21">
        <w:rPr>
          <w:sz w:val="28"/>
          <w:szCs w:val="28"/>
        </w:rPr>
        <w:t xml:space="preserve">06 марта 2020 года, 02 июня 2020 года, 31 августа 2020 года, 01 октября 2020 года </w:t>
      </w:r>
      <w:r w:rsidRPr="00846E21" w:rsidR="00846E21">
        <w:rPr>
          <w:sz w:val="28"/>
          <w:szCs w:val="28"/>
        </w:rPr>
        <w:t xml:space="preserve">регистрировал по своему месту проживания иностранных граждан </w:t>
      </w:r>
      <w:r w:rsidRPr="0093224F" w:rsidR="0093224F">
        <w:rPr>
          <w:sz w:val="28"/>
          <w:szCs w:val="28"/>
        </w:rPr>
        <w:t>&lt;данные изъяты</w:t>
      </w:r>
      <w:r w:rsidRPr="0093224F" w:rsidR="0093224F">
        <w:rPr>
          <w:sz w:val="28"/>
          <w:szCs w:val="28"/>
        </w:rPr>
        <w:t>&gt;</w:t>
      </w:r>
      <w:r w:rsidRPr="00846E21" w:rsidR="00846E21">
        <w:rPr>
          <w:sz w:val="28"/>
          <w:szCs w:val="28"/>
        </w:rPr>
        <w:t>.</w:t>
      </w:r>
    </w:p>
    <w:p w:rsidR="00846E21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 w:rsidRPr="00846E21">
        <w:rPr>
          <w:sz w:val="28"/>
          <w:szCs w:val="28"/>
        </w:rPr>
        <w:t>По ходатайству государственного обвинителя при отсутствии возражений других участников процесса оглашены показания</w:t>
      </w:r>
      <w:r>
        <w:rPr>
          <w:sz w:val="28"/>
          <w:szCs w:val="28"/>
        </w:rPr>
        <w:t xml:space="preserve"> </w:t>
      </w:r>
      <w:r w:rsidRPr="0093224F" w:rsidR="0093224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="00866492">
        <w:rPr>
          <w:sz w:val="28"/>
          <w:szCs w:val="28"/>
        </w:rPr>
        <w:t xml:space="preserve"> </w:t>
      </w:r>
      <w:r w:rsidRPr="00846E21">
        <w:rPr>
          <w:sz w:val="28"/>
          <w:szCs w:val="28"/>
        </w:rPr>
        <w:t xml:space="preserve">После </w:t>
      </w:r>
      <w:r w:rsidR="00866492">
        <w:rPr>
          <w:sz w:val="28"/>
          <w:szCs w:val="28"/>
        </w:rPr>
        <w:t xml:space="preserve"> </w:t>
      </w:r>
      <w:r w:rsidRPr="00846E21">
        <w:rPr>
          <w:sz w:val="28"/>
          <w:szCs w:val="28"/>
        </w:rPr>
        <w:t>огла</w:t>
      </w:r>
      <w:r>
        <w:rPr>
          <w:sz w:val="28"/>
          <w:szCs w:val="28"/>
        </w:rPr>
        <w:t xml:space="preserve">шения показаний </w:t>
      </w:r>
      <w:r w:rsidRPr="0093224F" w:rsidR="0093224F">
        <w:rPr>
          <w:sz w:val="28"/>
          <w:szCs w:val="28"/>
        </w:rPr>
        <w:t xml:space="preserve">&lt;данные </w:t>
      </w:r>
      <w:r w:rsidRPr="0093224F" w:rsidR="0093224F">
        <w:rPr>
          <w:sz w:val="28"/>
          <w:szCs w:val="28"/>
        </w:rPr>
        <w:t>изъяты</w:t>
      </w:r>
      <w:r w:rsidRPr="0093224F" w:rsidR="0093224F">
        <w:rPr>
          <w:sz w:val="28"/>
          <w:szCs w:val="28"/>
        </w:rPr>
        <w:t>&gt;</w:t>
      </w:r>
      <w:r>
        <w:rPr>
          <w:sz w:val="28"/>
          <w:szCs w:val="28"/>
        </w:rPr>
        <w:t xml:space="preserve">  подтвердил</w:t>
      </w:r>
      <w:r w:rsidRPr="00846E21">
        <w:rPr>
          <w:sz w:val="28"/>
          <w:szCs w:val="28"/>
        </w:rPr>
        <w:t xml:space="preserve"> их достоверность</w:t>
      </w:r>
      <w:r>
        <w:rPr>
          <w:sz w:val="28"/>
          <w:szCs w:val="28"/>
        </w:rPr>
        <w:t>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были оглашены показания свидетеля </w:t>
      </w:r>
      <w:r w:rsidRPr="0093224F" w:rsidR="0093224F">
        <w:rPr>
          <w:sz w:val="28"/>
          <w:szCs w:val="28"/>
        </w:rPr>
        <w:t xml:space="preserve">&lt;данные </w:t>
      </w:r>
      <w:r w:rsidRPr="0093224F" w:rsidR="0093224F">
        <w:rPr>
          <w:sz w:val="28"/>
          <w:szCs w:val="28"/>
        </w:rPr>
        <w:t>изъяты</w:t>
      </w:r>
      <w:r w:rsidRPr="0093224F" w:rsidR="0093224F">
        <w:rPr>
          <w:sz w:val="28"/>
          <w:szCs w:val="28"/>
        </w:rPr>
        <w:t>&gt;</w:t>
      </w:r>
      <w:r w:rsidR="00866492">
        <w:rPr>
          <w:sz w:val="28"/>
          <w:szCs w:val="28"/>
        </w:rPr>
        <w:t xml:space="preserve"> которая показала</w:t>
      </w:r>
      <w:r>
        <w:rPr>
          <w:sz w:val="28"/>
          <w:szCs w:val="28"/>
        </w:rPr>
        <w:t xml:space="preserve">, что проживает по адресу: </w:t>
      </w:r>
      <w:r w:rsidRPr="0093224F" w:rsidR="0093224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 супругом Тюленевым В.А., являющимся инвалидом 1 группы, и с сыном </w:t>
      </w:r>
      <w:r w:rsidRPr="0093224F" w:rsidR="0093224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Ей известно, что 03 марта, 02 июня, 31 августа и 01 октября 2020 года Тюленев В.А. регистрировал по указанному адресу своих знакомых граждан Республики Узбекистан. Данные граждане приехали в Республику Татарстан 04 марта 2020 года и по 06 марта 2020 года проживали у них дома, а затем Тюленев В.А. </w:t>
      </w:r>
      <w:r>
        <w:rPr>
          <w:sz w:val="28"/>
          <w:szCs w:val="28"/>
        </w:rPr>
        <w:t xml:space="preserve">отвез их в строящийся дом ее мамы </w:t>
      </w:r>
      <w:r w:rsidRPr="0093224F" w:rsidR="0093224F">
        <w:rPr>
          <w:sz w:val="28"/>
          <w:szCs w:val="28"/>
        </w:rPr>
        <w:t>&lt;данные изъяты</w:t>
      </w:r>
      <w:r w:rsidRPr="0093224F" w:rsidR="0093224F">
        <w:rPr>
          <w:sz w:val="28"/>
          <w:szCs w:val="28"/>
        </w:rPr>
        <w:t>&gt;</w:t>
      </w:r>
      <w:r>
        <w:rPr>
          <w:sz w:val="28"/>
          <w:szCs w:val="28"/>
        </w:rPr>
        <w:t xml:space="preserve">, расположенный по адресу: </w:t>
      </w:r>
      <w:r w:rsidRPr="0093224F" w:rsidR="0093224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где они помогали в строительстве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14-142).</w:t>
      </w:r>
    </w:p>
    <w:p w:rsidR="00E04988">
      <w:pPr>
        <w:pStyle w:val="Header"/>
        <w:tabs>
          <w:tab w:val="left" w:pos="708"/>
        </w:tabs>
        <w:spacing w:line="0" w:lineRule="atLeas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Такие же по содержанию показания на досудебной стадии производства по уголовному делу были </w:t>
      </w:r>
      <w:r>
        <w:rPr>
          <w:sz w:val="28"/>
          <w:szCs w:val="28"/>
        </w:rPr>
        <w:t xml:space="preserve">даны свидетелем </w:t>
      </w:r>
      <w:r w:rsidRPr="0093224F" w:rsidR="0093224F">
        <w:rPr>
          <w:sz w:val="28"/>
          <w:szCs w:val="28"/>
        </w:rPr>
        <w:t>&lt;данные изъяты</w:t>
      </w:r>
      <w:r w:rsidRPr="0093224F" w:rsidR="0093224F">
        <w:rPr>
          <w:sz w:val="28"/>
          <w:szCs w:val="28"/>
        </w:rPr>
        <w:t>&gt;</w:t>
      </w:r>
      <w:r>
        <w:rPr>
          <w:sz w:val="28"/>
          <w:szCs w:val="28"/>
        </w:rPr>
        <w:t xml:space="preserve">, являющейся матерью </w:t>
      </w:r>
      <w:r w:rsidRPr="0093224F" w:rsidR="0093224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145-147, т. 2,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32-35).</w:t>
      </w:r>
    </w:p>
    <w:p w:rsidR="00E04988">
      <w:pPr>
        <w:widowControl w:val="0"/>
        <w:tabs>
          <w:tab w:val="left" w:pos="40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оговора Тюленева В.А.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свидетелями не установлены, вследствие чего достоверность их приведенных показаний, положенных в основу приговора, не вызывает сомнений.</w:t>
      </w:r>
    </w:p>
    <w:p w:rsidR="00E04988">
      <w:pPr>
        <w:tabs>
          <w:tab w:val="left" w:pos="40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тому же их показания согласуются с другими исследованными судом доказательствами: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26 ноября 2020 года, согласно которому осмотрена квартира, расположенная по адресу: </w:t>
      </w:r>
      <w:r w:rsidRPr="004636BE" w:rsidR="004636B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20-21);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01 декабря 2020 года, согласно которому было осмотрено помещение отдела по вопросам миграции Управления МВД России по городу Казани, расположенного по адресу: Республика Татарстан, город Казань, улица Чехова, дом № 8/2 (том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29-31);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протоколом изъятия, </w:t>
      </w:r>
      <w:r>
        <w:rPr>
          <w:rStyle w:val="a6"/>
          <w:rFonts w:eastAsia="Calibri"/>
          <w:b w:val="0"/>
          <w:bCs w:val="0"/>
          <w:color w:val="auto"/>
          <w:sz w:val="28"/>
          <w:szCs w:val="28"/>
        </w:rPr>
        <w:t xml:space="preserve">согласно которому участковым уполномоченным полиции отдела полиции </w:t>
      </w:r>
      <w:r>
        <w:rPr>
          <w:sz w:val="28"/>
          <w:szCs w:val="28"/>
        </w:rPr>
        <w:t xml:space="preserve">№ 13 «Азино-2» Управления МВД России по городу Казани Макаровой А.В. в </w:t>
      </w:r>
      <w:r>
        <w:rPr>
          <w:rStyle w:val="a6"/>
          <w:rFonts w:eastAsia="Calibri"/>
          <w:b w:val="0"/>
          <w:bCs w:val="0"/>
          <w:color w:val="auto"/>
          <w:sz w:val="28"/>
          <w:szCs w:val="28"/>
        </w:rPr>
        <w:t xml:space="preserve">отделе по вопросам миграции Управлении МВД </w:t>
      </w:r>
      <w:r>
        <w:rPr>
          <w:rStyle w:val="a6"/>
          <w:rFonts w:eastAsia="Calibri"/>
          <w:b w:val="0"/>
          <w:bCs w:val="0"/>
          <w:color w:val="auto"/>
          <w:sz w:val="28"/>
          <w:szCs w:val="28"/>
        </w:rPr>
        <w:t>России по городу Казани</w:t>
      </w:r>
      <w:r>
        <w:rPr>
          <w:rStyle w:val="a6"/>
          <w:rFonts w:eastAsia="Calibri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изъяты регистрационные документы от 01 октября 2020 года, копий паспортов иностранных граждан, расписок Тюленева В.А. и паспорта Тюленева В.А.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26);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6"/>
          <w:rFonts w:eastAsia="Calibri"/>
          <w:b w:val="0"/>
          <w:bCs w:val="0"/>
          <w:color w:val="auto"/>
          <w:sz w:val="28"/>
          <w:szCs w:val="28"/>
        </w:rPr>
        <w:t>протокол выемки от 10 декабря 202</w:t>
      </w:r>
      <w:r w:rsidR="00866492">
        <w:rPr>
          <w:rStyle w:val="a6"/>
          <w:rFonts w:eastAsia="Calibri"/>
          <w:b w:val="0"/>
          <w:bCs w:val="0"/>
          <w:color w:val="auto"/>
          <w:sz w:val="28"/>
          <w:szCs w:val="28"/>
        </w:rPr>
        <w:t>0</w:t>
      </w:r>
      <w:r>
        <w:rPr>
          <w:rStyle w:val="a6"/>
          <w:rFonts w:eastAsia="Calibri"/>
          <w:b w:val="0"/>
          <w:bCs w:val="0"/>
          <w:color w:val="auto"/>
          <w:sz w:val="28"/>
          <w:szCs w:val="28"/>
        </w:rPr>
        <w:t xml:space="preserve"> года, согласно у участкового уполномоченного полиции отдела полиции </w:t>
      </w:r>
      <w:r>
        <w:rPr>
          <w:sz w:val="28"/>
          <w:szCs w:val="28"/>
        </w:rPr>
        <w:t xml:space="preserve">№ 13 «Азино-2» Управления МВД России по городу Казани Макаровой А.В. изъяты регистрационные документы от 01 октября 2020 года, копий паспортов иностранных граждан, расписок Тюленева В.А. и паспорта Тюленева В.А.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48-49);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 от 20 декабря 2020 года, согласно которому были осмотрены уведомления о прибытии иностранных граждан или лица без гражданства </w:t>
      </w:r>
      <w:r>
        <w:rPr>
          <w:sz w:val="28"/>
          <w:szCs w:val="28"/>
        </w:rPr>
        <w:t>в место пребывания</w:t>
      </w:r>
      <w:r>
        <w:rPr>
          <w:sz w:val="28"/>
          <w:szCs w:val="28"/>
        </w:rPr>
        <w:t xml:space="preserve"> на иностранных граждан, поставленных на миграционный учет по адресу: </w:t>
      </w:r>
      <w:r w:rsidRPr="004636BE" w:rsidR="004636B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а также копии паспортов иностранных граждан и их миграционных карт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62-65);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вещественными доказательствами - регистрационными документами от 01 октября 2020 года, копиями паспортов иностранных граждан, расписок Тюленева В.А. и паспорта Тюленева В.А. (т.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67-137).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доказательства полностью подтверждают виновность Тюле</w:t>
      </w:r>
      <w:r w:rsidR="00866492">
        <w:rPr>
          <w:sz w:val="28"/>
          <w:szCs w:val="28"/>
        </w:rPr>
        <w:t>нева В.А. в фиктивной постановке</w:t>
      </w:r>
      <w:r>
        <w:rPr>
          <w:sz w:val="28"/>
          <w:szCs w:val="28"/>
        </w:rPr>
        <w:t xml:space="preserve"> на учет иностранных граждан по месту пребывания в Российской Федерации.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Фиктивность такой постановки, как установлено в ходе судебного разбирательства, заключается в том, что Тюленев В.А. зарегистрировал данных граждан по месту своего жительства и регистрации, притом, что они по этому месту фактически не проживал, что он сам и не отрицал в судебном заседании. При этом он, выступая в качестве принимающей стороны, предоставил в государственное учреждение и государственный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 xml:space="preserve"> заведомо ложные сведения о том, что иностранцы будут проживать в том месте, где он просит поставить их на регистрационный учет.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оказанную иностранным гражданам услугу Тюленев В.А., осознававший, что без такой регистрации они не смогут осуществлять трудовую деятельность на территории нашей страны, получил выгоду материального характера, состоящую в том, что данные граждане помогли ему в строительстве дома его тещи.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мировой судья приходит к выводу, что действия Тюленева В.А. охвачены единым умыслом на получение незаконной выгоды за предоставление заведомо недостоверных сведений о прибытии иностранных граждан в Российскую Федерацию и считает необходимым квалифицировать его деяния как единое продолжаемое преступление, исходя из следующего.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показаниям Тюленева В.А., он зарегистрировал своих знакомых граждан Республики Татарстан по месту своего жительства на время, пока они осуществляли трудовую деятельность на территории Российской Федерации. Все это время они </w:t>
      </w:r>
      <w:r>
        <w:rPr>
          <w:sz w:val="28"/>
          <w:szCs w:val="28"/>
        </w:rPr>
        <w:t xml:space="preserve">проживали в строящемся доме </w:t>
      </w:r>
      <w:r w:rsidRPr="004636BE" w:rsidR="004636BE">
        <w:rPr>
          <w:sz w:val="28"/>
          <w:szCs w:val="28"/>
        </w:rPr>
        <w:t>&lt;данные изъяты</w:t>
      </w:r>
      <w:r w:rsidRPr="004636BE" w:rsidR="004636BE">
        <w:rPr>
          <w:sz w:val="28"/>
          <w:szCs w:val="28"/>
        </w:rPr>
        <w:t>&gt;</w:t>
      </w:r>
      <w:r>
        <w:rPr>
          <w:sz w:val="28"/>
          <w:szCs w:val="28"/>
        </w:rPr>
        <w:t xml:space="preserve"> и безвозмездно помогали осуществлять строительные работы, в чем и состояла выгода подсудимого в фиктивной регистрации иностранцев по месту своего жительства.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Такие же по содержанию показания об обстоятельствах постановки на регистрационный учет Тюленевым В.А. иностранных граждан были даны его родственниками.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Свидетели </w:t>
      </w:r>
      <w:r w:rsidRPr="004636BE" w:rsidR="004636B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4636BE" w:rsidR="004636BE">
        <w:rPr>
          <w:sz w:val="28"/>
          <w:szCs w:val="28"/>
        </w:rPr>
        <w:t xml:space="preserve">&lt;данные </w:t>
      </w:r>
      <w:r w:rsidRPr="004636BE" w:rsidR="004636BE">
        <w:rPr>
          <w:sz w:val="28"/>
          <w:szCs w:val="28"/>
        </w:rPr>
        <w:t>изъяты</w:t>
      </w:r>
      <w:r w:rsidRPr="004636BE" w:rsidR="004636BE">
        <w:rPr>
          <w:sz w:val="28"/>
          <w:szCs w:val="28"/>
        </w:rPr>
        <w:t>&gt;</w:t>
      </w:r>
      <w:r>
        <w:rPr>
          <w:sz w:val="28"/>
          <w:szCs w:val="28"/>
        </w:rPr>
        <w:t xml:space="preserve"> и </w:t>
      </w:r>
      <w:r w:rsidRPr="004636BE" w:rsidR="004636B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также подтвердили, что по приезду в Республику Татарстан обратились к своему знакомому Тюленеву В.А., которые на время из трудовой деятельности в России зарегистрировал их по месту своего жительства, где они в действительности не проживали, после чего поселил их в стр</w:t>
      </w:r>
      <w:r w:rsidR="00866492">
        <w:rPr>
          <w:sz w:val="28"/>
          <w:szCs w:val="28"/>
        </w:rPr>
        <w:t>оящемся доме в поселке Вознесенье.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Изложенное свидетельствует о том, что квалификация содеянного Тюленевым В.А. как четыре оконченных преступления, предусмотренные статьёй 322.3 УК РФ, является излишним.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подсудимого Тюленева В.А. мировой судья квалифицирует как единое продолжаемое преступление, предусмотренное статьей 322.3 УК РФ как фиктивная постановка на учет иностранного гражданина по месту пребывания в Российской Федерации.</w:t>
      </w:r>
    </w:p>
    <w:p w:rsidR="00E04988">
      <w:pPr>
        <w:pStyle w:val="ConsPlusNormal"/>
        <w:ind w:firstLine="567"/>
        <w:jc w:val="both"/>
      </w:pPr>
      <w:r>
        <w:t>В соответствии со статьями 6 и 60 УК РФ при назначении Тюленеву В.А. наказания за содеянное мировой судья учитывает характер и степень общественной опасности совершенного им преступления, обстоятельства его совершения, личность виновного,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E04988">
      <w:pPr>
        <w:pStyle w:val="ConsPlusNormal"/>
        <w:ind w:firstLine="567"/>
        <w:jc w:val="both"/>
      </w:pPr>
      <w:r>
        <w:t>Суд принимает во внимание данные о личности Тюленева В.А., который впервые совершил преступление небольшой тяжести, ранее к административной и уголовной ответственности не привлекался, по месту жительства характеризуется удовлетворительно, на учете у психиатра и нарколога не состоит.</w:t>
      </w:r>
    </w:p>
    <w:p w:rsidR="00E0498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Смягчающими наказание обстоятельствами в соответствии с частью 2 статьи 61 УК РФ мировой судья признает и учитывает при назначении Тюленеву В.А. наказания за совершенное преступление состояние здоровья подсудимого, имеющего инвалидность 1 группы, и состояние здоровья его близких родственников.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Отягчающие наказание обстоятельства в действиях Тюленева В.А. отсутствуют.</w:t>
      </w:r>
    </w:p>
    <w:p w:rsidR="00E0498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>Принимая во внимание совокупность установленных смягчающих наказание обстоятельств, которую мировой судья признает исключительной и достаточной для применения при назначении Тюленеву В.А. наказания положений статьи 64 УК РФ, учитывая положения части 1 статьи 56 УК РФ и санкцию статьи 322.3 УК РФ, а также, принимая во внимание отсутствие отягчающих наказание обстоятельств и имущественное положение подсудимого и его семьи, возможность получения</w:t>
      </w:r>
      <w:r>
        <w:rPr>
          <w:sz w:val="28"/>
          <w:szCs w:val="24"/>
        </w:rPr>
        <w:t xml:space="preserve"> ими дохода, мировой судья приходит к выводу о необходимости назначения подсудимому наказания в виде штрафа, определив их размер ниже низшего предела, предусмотренного санкцией статьи 322.3 УК РФ, поскольку </w:t>
      </w:r>
      <w:r>
        <w:rPr>
          <w:sz w:val="28"/>
          <w:szCs w:val="28"/>
        </w:rPr>
        <w:t xml:space="preserve">достижение в отношении него целей наказания, в том числе его исправление возможно при назначении ему этого </w:t>
      </w:r>
      <w:r>
        <w:rPr>
          <w:sz w:val="28"/>
          <w:szCs w:val="28"/>
        </w:rPr>
        <w:t>вида наказания.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– </w:t>
      </w:r>
      <w:r>
        <w:rPr>
          <w:sz w:val="28"/>
          <w:szCs w:val="28"/>
          <w:lang w:bidi="ru-RU"/>
        </w:rPr>
        <w:t>р</w:t>
      </w:r>
      <w:r>
        <w:rPr>
          <w:sz w:val="28"/>
          <w:szCs w:val="28"/>
        </w:rPr>
        <w:t>егистрационные документы от 06 марта 2020 года, от 02 июня 2020 года, от 31 августа 202</w:t>
      </w:r>
      <w:r w:rsidR="00585B9E">
        <w:rPr>
          <w:sz w:val="28"/>
          <w:szCs w:val="28"/>
        </w:rPr>
        <w:t>0 года, от 01 октября 2020 года (</w:t>
      </w:r>
      <w:r w:rsidRPr="00585B9E" w:rsidR="00585B9E">
        <w:rPr>
          <w:sz w:val="28"/>
          <w:szCs w:val="28"/>
        </w:rPr>
        <w:t>бланки уведомления о прибытии данных иностранцев в место п</w:t>
      </w:r>
      <w:r w:rsidR="00585B9E">
        <w:rPr>
          <w:sz w:val="28"/>
          <w:szCs w:val="28"/>
        </w:rPr>
        <w:t xml:space="preserve">ребывания за №№ 140263,140265, </w:t>
      </w:r>
      <w:r w:rsidRPr="00585B9E" w:rsidR="00585B9E">
        <w:rPr>
          <w:sz w:val="28"/>
          <w:szCs w:val="28"/>
        </w:rPr>
        <w:t>140264</w:t>
      </w:r>
      <w:r w:rsidR="00585B9E">
        <w:rPr>
          <w:sz w:val="28"/>
          <w:szCs w:val="28"/>
        </w:rPr>
        <w:t>,</w:t>
      </w:r>
      <w:r w:rsidRPr="00585B9E" w:rsidR="00585B9E">
        <w:t xml:space="preserve"> </w:t>
      </w:r>
      <w:r w:rsidR="00585B9E">
        <w:rPr>
          <w:sz w:val="28"/>
          <w:szCs w:val="28"/>
        </w:rPr>
        <w:t>202569, 602027,</w:t>
      </w:r>
      <w:r w:rsidRPr="00585B9E" w:rsidR="00585B9E">
        <w:rPr>
          <w:sz w:val="28"/>
          <w:szCs w:val="28"/>
        </w:rPr>
        <w:t xml:space="preserve"> 602028</w:t>
      </w:r>
      <w:r w:rsidR="00585B9E">
        <w:rPr>
          <w:sz w:val="28"/>
          <w:szCs w:val="28"/>
        </w:rPr>
        <w:t>,</w:t>
      </w:r>
      <w:r w:rsidRPr="00585B9E" w:rsidR="00585B9E">
        <w:t xml:space="preserve"> </w:t>
      </w:r>
      <w:r w:rsidR="00585B9E">
        <w:rPr>
          <w:sz w:val="28"/>
          <w:szCs w:val="28"/>
        </w:rPr>
        <w:t>251033,</w:t>
      </w:r>
      <w:r w:rsidRPr="00585B9E" w:rsidR="00585B9E">
        <w:rPr>
          <w:sz w:val="28"/>
          <w:szCs w:val="28"/>
        </w:rPr>
        <w:t xml:space="preserve"> 405336</w:t>
      </w:r>
      <w:r w:rsidR="00585B9E">
        <w:rPr>
          <w:sz w:val="28"/>
          <w:szCs w:val="28"/>
        </w:rPr>
        <w:t>,</w:t>
      </w:r>
      <w:r w:rsidRPr="00585B9E" w:rsidR="00585B9E">
        <w:t xml:space="preserve"> </w:t>
      </w:r>
      <w:r w:rsidRPr="00585B9E" w:rsidR="00585B9E">
        <w:rPr>
          <w:sz w:val="28"/>
          <w:szCs w:val="28"/>
        </w:rPr>
        <w:t>603635, 405913 и 651124</w:t>
      </w:r>
      <w:r w:rsidR="00585B9E">
        <w:rPr>
          <w:sz w:val="28"/>
          <w:szCs w:val="28"/>
        </w:rPr>
        <w:t>) копии</w:t>
      </w:r>
      <w:r>
        <w:rPr>
          <w:sz w:val="28"/>
          <w:szCs w:val="28"/>
        </w:rPr>
        <w:t xml:space="preserve"> паспортов иностранных гражда</w:t>
      </w:r>
      <w:r w:rsidR="00585B9E">
        <w:rPr>
          <w:sz w:val="28"/>
          <w:szCs w:val="28"/>
        </w:rPr>
        <w:t>н, расписок Тюленева В.А., копия</w:t>
      </w:r>
      <w:r>
        <w:rPr>
          <w:sz w:val="28"/>
          <w:szCs w:val="28"/>
        </w:rPr>
        <w:t xml:space="preserve"> паспорта Тюленева В.А. </w:t>
      </w:r>
      <w:r>
        <w:rPr>
          <w:sz w:val="28"/>
          <w:szCs w:val="28"/>
          <w:lang w:bidi="ru-RU"/>
        </w:rPr>
        <w:t xml:space="preserve">– </w:t>
      </w:r>
      <w:r>
        <w:rPr>
          <w:sz w:val="28"/>
          <w:szCs w:val="28"/>
        </w:rPr>
        <w:t>подлежат хранению</w:t>
      </w:r>
      <w:r>
        <w:rPr>
          <w:sz w:val="28"/>
          <w:szCs w:val="28"/>
        </w:rPr>
        <w:t xml:space="preserve"> при деле.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соответствии с частью первой статьи 131 УПК РФ подлежат возмещению за счет средств федерального бюджета и взысканию с Тюленева В.А., являющегося инвалидом 1 группы, взысканию не подлежат.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304, 307-310 УПК РФ, мировой судья</w:t>
      </w:r>
    </w:p>
    <w:p w:rsidR="00E04988">
      <w:pPr>
        <w:jc w:val="center"/>
        <w:rPr>
          <w:sz w:val="28"/>
          <w:szCs w:val="28"/>
        </w:rPr>
      </w:pPr>
    </w:p>
    <w:p w:rsidR="00E049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E04988">
      <w:pPr>
        <w:jc w:val="center"/>
        <w:rPr>
          <w:sz w:val="28"/>
          <w:szCs w:val="28"/>
        </w:rPr>
      </w:pP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Тюленева В</w:t>
      </w:r>
      <w:r w:rsidR="004C464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C4647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преступления, предусмотренного статьей 322.3 Уголовного кодекса Российской Федерации, за которое назначить ему нака</w:t>
      </w:r>
      <w:r w:rsidR="00846E21">
        <w:rPr>
          <w:sz w:val="28"/>
          <w:szCs w:val="28"/>
        </w:rPr>
        <w:t xml:space="preserve">зание в виде штрафа в размере 15 </w:t>
      </w:r>
      <w:r>
        <w:rPr>
          <w:sz w:val="28"/>
          <w:szCs w:val="28"/>
        </w:rPr>
        <w:t>000 рублей.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по следующим реквизитам: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РТ (УМВД России по городу Казани л/с 04111515550)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1654002978 КПП 165501001 Отделение – НБ Республики Татарстан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 049205001 ОКТМО 92701000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 40101810800000010001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КБК 18811621010016000140.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Примененную к Тюленеву В.А. меру процессуального принуждения в виде обязательства о явке отменить</w:t>
      </w:r>
      <w:r w:rsidR="00237528">
        <w:rPr>
          <w:sz w:val="28"/>
          <w:szCs w:val="28"/>
        </w:rPr>
        <w:t xml:space="preserve"> после вступления настоящего приговора в законную силу.</w:t>
      </w:r>
    </w:p>
    <w:p w:rsidR="00846E21">
      <w:pPr>
        <w:ind w:firstLine="567"/>
        <w:jc w:val="both"/>
        <w:rPr>
          <w:sz w:val="28"/>
          <w:szCs w:val="28"/>
        </w:rPr>
      </w:pPr>
      <w:r w:rsidRPr="00846E21">
        <w:rPr>
          <w:sz w:val="28"/>
          <w:szCs w:val="28"/>
        </w:rPr>
        <w:t>Процессуальные издержки в соответствии с частью первой статьи 131 УПК РФ подлежат возмещению за счет средств федерального бюджета</w:t>
      </w:r>
      <w:r>
        <w:rPr>
          <w:sz w:val="28"/>
          <w:szCs w:val="28"/>
        </w:rPr>
        <w:t>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- </w:t>
      </w:r>
      <w:r>
        <w:rPr>
          <w:sz w:val="28"/>
          <w:szCs w:val="28"/>
          <w:lang w:bidi="ru-RU"/>
        </w:rPr>
        <w:t>р</w:t>
      </w:r>
      <w:r>
        <w:rPr>
          <w:sz w:val="28"/>
          <w:szCs w:val="28"/>
        </w:rPr>
        <w:t>егистрационные документы от 06 марта 2020 года, от 02 июня 2020 года, от 31 августа 2020 года, от 01 октября 2020 года</w:t>
      </w:r>
      <w:r w:rsidR="00585B9E">
        <w:rPr>
          <w:sz w:val="28"/>
          <w:szCs w:val="28"/>
        </w:rPr>
        <w:t xml:space="preserve"> (</w:t>
      </w:r>
      <w:r w:rsidRPr="00585B9E" w:rsidR="00585B9E">
        <w:rPr>
          <w:sz w:val="28"/>
          <w:szCs w:val="28"/>
        </w:rPr>
        <w:t>за №№ 140263,140265, 140264, 202569, 602027, 602028, 251033, 405336, 603635, 405913 и 651124</w:t>
      </w:r>
      <w:r w:rsidR="00585B9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85B9E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паспортов иностранных гражда</w:t>
      </w:r>
      <w:r w:rsidR="00585B9E">
        <w:rPr>
          <w:sz w:val="28"/>
          <w:szCs w:val="28"/>
        </w:rPr>
        <w:t>н, расписок Тюленева В.А., копия</w:t>
      </w:r>
      <w:r>
        <w:rPr>
          <w:sz w:val="28"/>
          <w:szCs w:val="28"/>
        </w:rPr>
        <w:t xml:space="preserve"> паспорта Тюленева В.А. – хранить в уголовном деле.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процессуального принуждения в виде обязательства о явке Тюленеву В.А. отменить по вступление настоящего приговора в законную силу.</w:t>
      </w:r>
    </w:p>
    <w:p w:rsidR="00E0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Советский районный суд города Казани в течение 10 суток со дня провозглашения через мирового судью.</w:t>
      </w:r>
    </w:p>
    <w:p w:rsidR="00E04988">
      <w:pPr>
        <w:jc w:val="both"/>
        <w:rPr>
          <w:sz w:val="28"/>
          <w:szCs w:val="28"/>
        </w:rPr>
      </w:pPr>
    </w:p>
    <w:p w:rsidR="00E04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7AB">
        <w:rPr>
          <w:sz w:val="28"/>
          <w:szCs w:val="28"/>
        </w:rPr>
        <w:t xml:space="preserve"> </w:t>
      </w:r>
      <w:r w:rsidR="00F55514">
        <w:rPr>
          <w:sz w:val="28"/>
          <w:szCs w:val="28"/>
        </w:rPr>
        <w:t>Мировой судья                                                                              Нуреева Д.Р.</w:t>
      </w:r>
    </w:p>
    <w:p w:rsidR="004F47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Копия верна</w:t>
      </w:r>
    </w:p>
    <w:sectPr w:rsidSect="00846E21">
      <w:headerReference w:type="default" r:id="rId6"/>
      <w:pgSz w:w="11906" w:h="16838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7322873"/>
      <w:docPartObj>
        <w:docPartGallery w:val="Page Numbers (Top of Page)"/>
        <w:docPartUnique/>
      </w:docPartObj>
    </w:sdtPr>
    <w:sdtContent>
      <w:p w:rsidR="0086649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47">
          <w:rPr>
            <w:noProof/>
          </w:rPr>
          <w:t>8</w:t>
        </w:r>
        <w:r>
          <w:fldChar w:fldCharType="end"/>
        </w:r>
      </w:p>
    </w:sdtContent>
  </w:sdt>
  <w:p w:rsidR="00866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5162B0"/>
    <w:multiLevelType w:val="hybridMultilevel"/>
    <w:tmpl w:val="9AD451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D386900"/>
    <w:multiLevelType w:val="hybridMultilevel"/>
    <w:tmpl w:val="C5E6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76D94"/>
    <w:multiLevelType w:val="hybridMultilevel"/>
    <w:tmpl w:val="38C07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257FF"/>
    <w:multiLevelType w:val="multilevel"/>
    <w:tmpl w:val="070A7022"/>
    <w:lvl w:ilvl="0">
      <w:start w:val="24"/>
      <w:numFmt w:val="decimal"/>
      <w:lvlText w:val="%1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4">
    <w:nsid w:val="48AF1F2E"/>
    <w:multiLevelType w:val="hybridMultilevel"/>
    <w:tmpl w:val="D51AD6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54947C7D"/>
    <w:multiLevelType w:val="hybridMultilevel"/>
    <w:tmpl w:val="285C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463A4"/>
    <w:multiLevelType w:val="hybridMultilevel"/>
    <w:tmpl w:val="C958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D0360"/>
    <w:multiLevelType w:val="hybridMultilevel"/>
    <w:tmpl w:val="322AC11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8"/>
    <w:rsid w:val="00193897"/>
    <w:rsid w:val="001D29B7"/>
    <w:rsid w:val="00237528"/>
    <w:rsid w:val="00417B47"/>
    <w:rsid w:val="004636BE"/>
    <w:rsid w:val="004C4647"/>
    <w:rsid w:val="004F47AB"/>
    <w:rsid w:val="00585B9E"/>
    <w:rsid w:val="00692B58"/>
    <w:rsid w:val="00846E21"/>
    <w:rsid w:val="00866492"/>
    <w:rsid w:val="00876C07"/>
    <w:rsid w:val="0093224F"/>
    <w:rsid w:val="00A7155A"/>
    <w:rsid w:val="00BF67F4"/>
    <w:rsid w:val="00E04988"/>
    <w:rsid w:val="00E23250"/>
    <w:rsid w:val="00F555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2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 w:themeColor="text1" w:themeTint="0D"/>
      </w:tcPr>
    </w:tblStylePr>
    <w:tblStylePr w:type="band1Horz">
      <w:tblPr/>
      <w:tcPr>
        <w:shd w:val="clear" w:color="F2F2F2" w:fill="auto" w:themeColor="text1" w:themeTint="0D"/>
      </w:tcPr>
    </w:tblStylePr>
  </w:style>
  <w:style w:type="table" w:customStyle="1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1" w:theme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 w:themeColor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auto" w:themeColor="accent1" w:theme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auto" w:themeColor="accent1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auto" w:themeColor="accent1" w:theme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auto" w:themeColor="accent2" w:theme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uto" w:themeColor="accent3" w:theme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auto" w:themeColor="accent4" w:theme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auto" w:themeColor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 w:themeColor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auto" w:themeColor="text1" w:theme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 w:themeColor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band1Vert">
      <w:tblPr/>
      <w:tcPr>
        <w:shd w:val="clear" w:color="8A8A8A" w:fill="auto" w:themeColor="text1" w:themeTint="75"/>
      </w:tcPr>
    </w:tblStylePr>
    <w:tblStylePr w:type="band1Horz">
      <w:tblPr/>
      <w:tcPr>
        <w:shd w:val="clear" w:color="8A8A8A" w:fill="auto" w:themeColor="text1" w:theme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auto" w:themeColor="accent1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 w:themeColor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band1Vert">
      <w:tblPr/>
      <w:tcPr>
        <w:shd w:val="clear" w:color="A9BEE4" w:fill="auto" w:themeColor="accent1" w:themeTint="75"/>
      </w:tcPr>
    </w:tblStylePr>
    <w:tblStylePr w:type="band1Horz">
      <w:tblPr/>
      <w:tcPr>
        <w:shd w:val="clear" w:color="A9BEE4" w:fill="auto" w:themeColor="accent1" w:theme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auto" w:themeColor="accent2" w:theme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 w:themeColor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band1Vert">
      <w:tblPr/>
      <w:tcPr>
        <w:shd w:val="clear" w:color="F6C3A0" w:fill="auto" w:themeColor="accent2" w:themeTint="75"/>
      </w:tcPr>
    </w:tblStylePr>
    <w:tblStylePr w:type="band1Horz">
      <w:tblPr/>
      <w:tcPr>
        <w:shd w:val="clear" w:color="F6C3A0" w:fill="auto" w:themeColor="accent2" w:theme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auto" w:themeColor="accent3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 w:themeColor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band1Vert">
      <w:tblPr/>
      <w:tcPr>
        <w:shd w:val="clear" w:color="D5D5D5" w:fill="auto" w:themeColor="accent3" w:themeTint="75"/>
      </w:tcPr>
    </w:tblStylePr>
    <w:tblStylePr w:type="band1Horz">
      <w:tblPr/>
      <w:tcPr>
        <w:shd w:val="clear" w:color="D5D5D5" w:fill="auto" w:themeColor="accent3" w:theme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auto" w:themeColor="accent4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 w:themeColor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band1Vert">
      <w:tblPr/>
      <w:tcPr>
        <w:shd w:val="clear" w:color="FFE28A" w:fill="auto" w:themeColor="accent4" w:themeTint="75"/>
      </w:tcPr>
    </w:tblStylePr>
    <w:tblStylePr w:type="band1Horz">
      <w:tblPr/>
      <w:tcPr>
        <w:shd w:val="clear" w:color="FFE28A" w:fill="auto" w:themeColor="accent4" w:theme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auto" w:themeColor="accent5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 w:themeColor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band1Vert">
      <w:tblPr/>
      <w:tcPr>
        <w:shd w:val="clear" w:color="B3D0EB" w:fill="auto" w:themeColor="accent5" w:themeTint="75"/>
      </w:tcPr>
    </w:tblStylePr>
    <w:tblStylePr w:type="band1Horz">
      <w:tblPr/>
      <w:tcPr>
        <w:shd w:val="clear" w:color="B3D0EB" w:fill="auto" w:themeColor="accent5" w:theme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auto" w:themeColor="accent6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 w:themeColor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band1Vert">
      <w:tblPr/>
      <w:tcPr>
        <w:shd w:val="clear" w:color="BCDBA8" w:fill="auto" w:themeColor="accent6" w:themeTint="75"/>
      </w:tcPr>
    </w:tblStylePr>
    <w:tblStylePr w:type="band1Horz">
      <w:tblPr/>
      <w:tcPr>
        <w:shd w:val="clear" w:color="BCDBA8" w:fill="auto" w:themeColor="accent6" w:theme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Shade="95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Shade="95" w:themeTint="80"/>
      </w:rPr>
    </w:tblStylePr>
    <w:tblStylePr w:type="firstCol">
      <w:rPr>
        <w:b/>
        <w:color w:val="A0B7E1" w:themeColor="accent1" w:themeShade="95" w:themeTint="80"/>
      </w:rPr>
    </w:tblStylePr>
    <w:tblStylePr w:type="lastCol">
      <w:rPr>
        <w:b/>
        <w:color w:val="A0B7E1" w:themeColor="accent1" w:themeShade="95" w:themeTint="80"/>
      </w:rPr>
    </w:tblStylePr>
    <w:tblStylePr w:type="band1Vert"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A0B7E1" w:themeColor="accent1" w:themeShade="95" w:themeTint="80"/>
        <w:sz w:val="22"/>
      </w:rPr>
      <w:tblPr/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0B7E1" w:themeColor="accent1" w:themeShade="95" w:themeTint="80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 w:themeColor="accent1" w:themeTint="34"/>
      </w:tcPr>
    </w:tblStylePr>
    <w:tblStylePr w:type="band1Horz">
      <w:rPr>
        <w:rFonts w:ascii="Arial" w:hAnsi="Arial"/>
        <w:color w:val="A0B7E1" w:themeColor="accent1" w:themeShade="95" w:themeTint="80"/>
        <w:sz w:val="22"/>
      </w:rPr>
      <w:tblPr/>
      <w:tcPr>
        <w:shd w:val="clear" w:color="D8E2F3" w:fill="auto" w:themeColor="accent1" w:themeTint="34"/>
      </w:tcPr>
    </w:tblStylePr>
    <w:tblStylePr w:type="band2Horz">
      <w:rPr>
        <w:rFonts w:ascii="Arial" w:hAnsi="Arial"/>
        <w:color w:val="A0B7E1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auto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tblPr/>
      <w:tcPr>
        <w:shd w:val="clear" w:color="BFBFBF" w:fill="auto" w:themeColor="text1" w:theme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 w:themeColor="accent1" w:themeTint="40"/>
      </w:tcPr>
    </w:tblStylePr>
    <w:tblStylePr w:type="band1Horz">
      <w:tblPr/>
      <w:tcPr>
        <w:shd w:val="clear" w:color="CFDBF0" w:fill="auto" w:themeColor="accent1" w:theme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tblPr/>
      <w:tcPr>
        <w:shd w:val="clear" w:color="FADECB" w:fill="auto" w:themeColor="accent2" w:theme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tblPr/>
      <w:tcPr>
        <w:shd w:val="clear" w:color="E8E8E8" w:fill="auto" w:themeColor="accent3" w:theme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tblPr/>
      <w:tcPr>
        <w:shd w:val="clear" w:color="FFEFBF" w:fill="auto" w:themeColor="accent4" w:theme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 w:themeColor="accent5" w:themeTint="40"/>
      </w:tcPr>
    </w:tblStylePr>
    <w:tblStylePr w:type="band1Horz">
      <w:tblPr/>
      <w:tcPr>
        <w:shd w:val="clear" w:color="D5E5F4" w:fill="auto" w:themeColor="accent5" w:theme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tblPr/>
      <w:tcPr>
        <w:shd w:val="clear" w:color="DAEBCF" w:fill="auto" w:themeColor="accent6" w:theme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 w:themeColor="accent2" w:theme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 w:themeColor="accent3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 w:themeColor="accent4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auto" w:themeColor="accent5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 w:themeColor="accent6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1" w:theme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5" w:theme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auto" w:themeColor="text1" w:theme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auto" w:themeColor="text1" w:theme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 w:themeColor="text1" w:theme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auto" w:themeColor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auto" w:themeColor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auto" w:themeColor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 w:themeColor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auto" w:themeColor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auto" w:themeColor="accent2" w:theme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auto" w:themeColor="accent2" w:theme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 w:themeColor="accent2" w:theme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auto" w:themeColor="accent3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auto" w:themeColor="accent3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 w:themeColor="accent3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auto" w:themeColor="accent4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auto" w:themeColor="accent4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 w:themeColor="accent4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auto" w:themeColor="accent5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auto" w:themeColor="accent5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auto" w:themeColor="accent5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 w:themeColor="accent5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auto" w:themeColor="accent5" w:theme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uto" w:themeColor="accent6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uto" w:themeColor="accent6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 w:themeColor="accent6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Shade="9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Shade="9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 w:themeColor="accent1" w:theme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auto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 w:themeColor="accent5" w:theme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blPr/>
      <w:tcPr>
        <w:shd w:val="clear" w:color="D5E5F4" w:fill="auto" w:themeColor="accent5" w:theme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auto" w:themeColor="accent1" w:theme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auto" w:themeColor="accent5" w:theme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/>
    </w:pPr>
    <w:rPr>
      <w:sz w:val="18"/>
    </w:rPr>
  </w:style>
  <w:style w:type="character" w:customStyle="1" w:styleId="a3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</w:style>
  <w:style w:type="character" w:customStyle="1" w:styleId="a4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30">
    <w:name w:val="Знак3"/>
    <w:basedOn w:val="Normal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</w:style>
  <w:style w:type="character" w:customStyle="1" w:styleId="a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9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CB6D992-24AE-482C-81E5-FA5793EE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