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0068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Буинск РТ</w:t>
      </w:r>
    </w:p>
    <w:p>
      <w:pPr>
        <w:spacing w:before="0" w:after="0"/>
        <w:ind w:firstLine="284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Буинскому судебному району Республики Татарстан Сунгатов Л.В., с участием государственного обвинителя </w:t>
      </w:r>
      <w:r>
        <w:rPr>
          <w:rStyle w:val="cat-FIOgrp-14rplc-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подсудимого </w:t>
      </w:r>
      <w:r>
        <w:rPr>
          <w:rStyle w:val="cat-FIOgrp-15rplc-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защитника </w:t>
      </w:r>
      <w:r>
        <w:rPr>
          <w:rStyle w:val="cat-FIOgrp-1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удостоверение № </w:t>
      </w:r>
      <w:r>
        <w:rPr>
          <w:rStyle w:val="cat-UserDefinedgrp-44rplc-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ордер № </w:t>
      </w:r>
      <w:r>
        <w:rPr>
          <w:rStyle w:val="cat-UserDefinedgrp-45rplc-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Закировой Г.И., рассмотрев в открытом судебном заседании уголовное дело в отношении: </w:t>
      </w:r>
    </w:p>
    <w:p>
      <w:pPr>
        <w:spacing w:before="0" w:after="0"/>
        <w:ind w:left="2410"/>
        <w:jc w:val="both"/>
        <w:rPr>
          <w:sz w:val="28"/>
          <w:szCs w:val="28"/>
        </w:rPr>
      </w:pPr>
      <w:r>
        <w:rPr>
          <w:rStyle w:val="cat-UserDefinedgrp-4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 среднее </w:t>
      </w:r>
      <w:r>
        <w:rPr>
          <w:rFonts w:ascii="Times New Roman" w:eastAsia="Times New Roman" w:hAnsi="Times New Roman" w:cs="Times New Roman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ное, </w:t>
      </w:r>
      <w:r>
        <w:rPr>
          <w:rFonts w:ascii="Times New Roman" w:eastAsia="Times New Roman" w:hAnsi="Times New Roman" w:cs="Times New Roman"/>
          <w:sz w:val="28"/>
          <w:szCs w:val="28"/>
        </w:rPr>
        <w:t>женато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го, не работающего, не судимого: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ч.1 ст.291.2 УК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11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9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двигая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за рулем грузового автомобиля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31rplc-1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34rplc-1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сцепке с полуприцепом марки </w:t>
      </w:r>
      <w:r>
        <w:rPr>
          <w:rStyle w:val="cat-CarMakeModelgrp-32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35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участку 134 км+900 м </w:t>
      </w:r>
      <w:r>
        <w:rPr>
          <w:rStyle w:val="cat-Addressgrp-7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расположенному в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РТ, по направлению из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направлении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нарушил п.3 Осн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вных положений по допуску транспортных средств к эксплуатации и обязанно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 должностных лиц по обеспечению безопасности дорожного движения Правил дорожного движения РФ, то есть управлял транспортным средством с нарушением установленных нормативными правовыми актами РФ требований к использованию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тахографа, тем самым совершил административное правонарушение, предусмотренное ч.1 ст.11.23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29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134 км+900 м </w:t>
      </w:r>
      <w:r>
        <w:rPr>
          <w:rStyle w:val="cat-Addressgrp-7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расположенном в </w:t>
      </w:r>
      <w:r>
        <w:rPr>
          <w:rStyle w:val="cat-Addressgrp-3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РТ, грузового автомобиля марки </w:t>
      </w:r>
      <w:r>
        <w:rPr>
          <w:rStyle w:val="cat-CarMakeModelgrp-31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34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сцепке с полуприцепом марки </w:t>
      </w:r>
      <w:r>
        <w:rPr>
          <w:rStyle w:val="cat-CarMakeModelgrp-32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35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 целью проверки документов на право поль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ования и управления транспортным средством,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перевозимый груз, был остановлен 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20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совместно с капитаном полиции </w:t>
      </w:r>
      <w:r>
        <w:rPr>
          <w:rStyle w:val="cat-FIOgrp-2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 службу по обеспечению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документов </w:t>
      </w:r>
      <w:r>
        <w:rPr>
          <w:rStyle w:val="cat-FIOgrp-2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вышеуказанным транспортным средством с нарушением установленных нормативн</w:t>
      </w:r>
      <w:r>
        <w:rPr>
          <w:rFonts w:ascii="Times New Roman" w:eastAsia="Times New Roman" w:hAnsi="Times New Roman" w:cs="Times New Roman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 РФ требований к использованию тахографа.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этого </w:t>
      </w:r>
      <w:r>
        <w:rPr>
          <w:rStyle w:val="cat-FIOgrp-2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потребовал от 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в служебный автомобиль марки </w:t>
      </w:r>
      <w:r>
        <w:rPr>
          <w:rStyle w:val="cat-CarMakeModelgrp-33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36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тавления в отношении него протокола по делу об административном правонарушении, предусмотренным ч.1 ст.11.23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30rplc-3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находясь в служебном автомобиле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3rplc-4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36rplc-4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припаркованном на 134км+900 м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</w:t>
      </w:r>
      <w:r>
        <w:rPr>
          <w:rStyle w:val="cat-Addressgrp-3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РТ, во избежание привлечения к административной ответственности за совершенное им административное правонарушение, предусмотренное ч.1 ст.11.23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действуя с прямым умыслом, осознавая, что дает взятку в размере, не превышающем десяти тысяч рублей, должностному лицу за несоставление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правонарушении, во избежание административного наказания, лично передал в качестве взятки сотруднику ДПС </w:t>
      </w:r>
      <w:r>
        <w:rPr>
          <w:rStyle w:val="cat-FIOgrp-21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деньги в размере </w:t>
      </w:r>
      <w:r>
        <w:rPr>
          <w:rStyle w:val="cat-Sumgrp-25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 ДПС, обнаружив передачу денежных средств, предупредил </w:t>
      </w:r>
      <w:r>
        <w:rPr>
          <w:rStyle w:val="cat-FIOgrp-1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противоправности и уголовной наказуемости его действий.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9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предупреждение должным образом не отреагировал, переданные им в качестве взятки денежные средства обратно не забрал.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момент ознакомления с материалами уголовного дела, обвиняемый в присутствии своего защитника заявил ходатайство о применении особого порядка судебного разбирательства (п.2 ч.5 ст.217 УПК РФ). В судебном заседании подсудимый пояснил, что обвинение ему понятно, с обвинением он согласен, свое ходатайство о постановлении приговора без проведения судебного разбирательства он поддерживает, это ходатайство заявлено добровольно и после консультации с защитником, последствия постановления приговора без проведения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он осознает.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Защитник, государственный обвинитель не возражают с постановлением приговора без проведения судебного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поэтому возможно вынести приговор без проведения судебного разбирательства в порядке ст.316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подсудимого суд квалифицирует по ч.1 ст.291.2 УК РФ, как мелкое взяточничество, то есть дача взятки лично в размере, не превышающем десяти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наказании, суд учитывает характер и степень общественной опасности совершенного преступления, отнесенного законом к категории небольшой тяжести, данные о личности подсудимого,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положительно характеризуется по месту жительства, на учете у психиатра, нарколога не состоит.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Подсудимый вину свою признал, раскаялся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инвалидом 3 группы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основании ч.2 ст.61 УК РФ признает обстоятельством, смягчающим его наказание.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супруга подсудимого я</w:t>
      </w:r>
      <w:r>
        <w:rPr>
          <w:rFonts w:ascii="Times New Roman" w:eastAsia="Times New Roman" w:hAnsi="Times New Roman" w:cs="Times New Roman"/>
          <w:sz w:val="28"/>
          <w:szCs w:val="28"/>
        </w:rPr>
        <w:t>вляется инвалидом 2 группы, дан</w:t>
      </w:r>
      <w:r>
        <w:rPr>
          <w:rFonts w:ascii="Times New Roman" w:eastAsia="Times New Roman" w:hAnsi="Times New Roman" w:cs="Times New Roman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обстоятельство суд также признает смягчающим его наказание. Н</w:t>
      </w:r>
      <w:r>
        <w:rPr>
          <w:rFonts w:ascii="Times New Roman" w:eastAsia="Times New Roman" w:hAnsi="Times New Roman" w:cs="Times New Roman"/>
          <w:sz w:val="28"/>
          <w:szCs w:val="28"/>
        </w:rPr>
        <w:t>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п.«и» ч.1 ст.61 УК РФ в качестве смягчающего обстоятельства суд признает активное способствование расследованию преступления.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вину подсудимого,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при назначении наказания 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ст.64 УК РФ суд не усматривает, поскольку исключительных обстоятельств, связанных с целями и мотивами преступления, ролью подсудимого, его поведением во время или после совершения преступления либо иных обстоятельств, существенно уменьшающих степень общественной опасности преступления – по делу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 полагает возможным назначить подсудимому наказание в виде штрафа, поскольку именно такое наказание, сможет обеспечить достижение целей наказания, исправления подсудимого, а также повлиять на условия его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жизни его семьи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ч.5 ст.302, ст.303, 307, 308 УПК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8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пр</w:t>
      </w:r>
      <w:r>
        <w:rPr>
          <w:rFonts w:ascii="Times New Roman" w:eastAsia="Times New Roman" w:hAnsi="Times New Roman" w:cs="Times New Roman"/>
          <w:sz w:val="28"/>
          <w:szCs w:val="28"/>
        </w:rPr>
        <w:t>еступления,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291.2 УК РФ и назначить ему 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в доход государства.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(СУ СК России по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</w:t>
      </w:r>
      <w:r>
        <w:rPr>
          <w:rStyle w:val="cat-UserDefinedgrp-49rplc-5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Style w:val="cat-PhoneNumbergrp-39rplc-5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40rplc-5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р/с </w:t>
      </w:r>
      <w:r>
        <w:rPr>
          <w:rStyle w:val="cat-UserDefinedgrp-50rplc-5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- НБ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 УФК по </w:t>
      </w:r>
      <w:r>
        <w:rPr>
          <w:rStyle w:val="cat-Addressgrp-8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41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к/с </w:t>
      </w:r>
      <w:r>
        <w:rPr>
          <w:rStyle w:val="cat-UserDefinedgrp-48rplc-5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Style w:val="cat-UserDefinedgrp-51rplc-59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42rplc-6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-0, КБК – </w:t>
      </w:r>
      <w:r>
        <w:rPr>
          <w:rStyle w:val="cat-UserDefinedgrp-47rplc-6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>пресечения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подписки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оставить подсудимому без изменения до вступления приговора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одну денежную купюру достоинством </w:t>
      </w:r>
      <w:r>
        <w:rPr>
          <w:rStyle w:val="cat-Sumgrp-25rplc-6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переданную на хранение в банковской ячейке ОСБ «Банк Татарстан» в соответствии с п.2.1 ч.1 ст.81 УПК РФ и п.«б», ч.1 ст.104.1 УК РФ, конфисковать </w:t>
      </w:r>
      <w:r>
        <w:rPr>
          <w:rFonts w:ascii="Times New Roman" w:eastAsia="Times New Roman" w:hAnsi="Times New Roman" w:cs="Times New Roman"/>
          <w:sz w:val="28"/>
          <w:szCs w:val="28"/>
        </w:rPr>
        <w:t>и обратить в доход государства.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в виде сумм, выплачиваемые адвокату за оказание им юридической помощи в судебном заседании по назначению,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отнести за счет средств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Буинский городской суд РТ в течение 10 суток со дня его провозглашения.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подаче апелляционной жалобы, осужденный вправе, в тот же срок, ходатайствовать о своем участии в рассмотрении уголовного дела судом апелляционной инстанции, о чем должно быть указано в его апелляционной жалобе. В случае подачи апелляционного представления или апелляционной жалобы другими участниками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апелляционного представления либо апелляционной жалобы.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2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вступил в законную силу:__________________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>
      <w:pPr>
        <w:spacing w:before="0" w:after="12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Буинскому судебному району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Л.В. Сунгатов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Л.В. Сунгатов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0">
    <w:name w:val="cat-FIO grp-14 rplc-0"/>
    <w:basedOn w:val="DefaultParagraphFont"/>
  </w:style>
  <w:style w:type="character" w:customStyle="1" w:styleId="cat-FIOgrp-15rplc-1">
    <w:name w:val="cat-FIO grp-15 rplc-1"/>
    <w:basedOn w:val="DefaultParagraphFont"/>
  </w:style>
  <w:style w:type="character" w:customStyle="1" w:styleId="cat-FIOgrp-16rplc-2">
    <w:name w:val="cat-FIO grp-16 rplc-2"/>
    <w:basedOn w:val="DefaultParagraphFont"/>
  </w:style>
  <w:style w:type="character" w:customStyle="1" w:styleId="cat-UserDefinedgrp-44rplc-3">
    <w:name w:val="cat-UserDefined grp-44 rplc-3"/>
    <w:basedOn w:val="DefaultParagraphFont"/>
  </w:style>
  <w:style w:type="character" w:customStyle="1" w:styleId="cat-UserDefinedgrp-45rplc-4">
    <w:name w:val="cat-UserDefined grp-45 rplc-4"/>
    <w:basedOn w:val="DefaultParagraphFont"/>
  </w:style>
  <w:style w:type="character" w:customStyle="1" w:styleId="cat-UserDefinedgrp-46rplc-6">
    <w:name w:val="cat-UserDefined grp-46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Timegrp-29rplc-10">
    <w:name w:val="cat-Time grp-29 rplc-10"/>
    <w:basedOn w:val="DefaultParagraphFont"/>
  </w:style>
  <w:style w:type="character" w:customStyle="1" w:styleId="cat-FIOgrp-19rplc-11">
    <w:name w:val="cat-FIO grp-19 rplc-11"/>
    <w:basedOn w:val="DefaultParagraphFont"/>
  </w:style>
  <w:style w:type="character" w:customStyle="1" w:styleId="cat-CarMakeModelgrp-31rplc-12">
    <w:name w:val="cat-CarMakeModel grp-31 rplc-12"/>
    <w:basedOn w:val="DefaultParagraphFont"/>
  </w:style>
  <w:style w:type="character" w:customStyle="1" w:styleId="cat-CarNumbergrp-34rplc-13">
    <w:name w:val="cat-CarNumber grp-34 rplc-13"/>
    <w:basedOn w:val="DefaultParagraphFont"/>
  </w:style>
  <w:style w:type="character" w:customStyle="1" w:styleId="cat-CarMakeModelgrp-32rplc-14">
    <w:name w:val="cat-CarMakeModel grp-32 rplc-14"/>
    <w:basedOn w:val="DefaultParagraphFont"/>
  </w:style>
  <w:style w:type="character" w:customStyle="1" w:styleId="cat-CarNumbergrp-35rplc-15">
    <w:name w:val="cat-CarNumber grp-35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Timegrp-29rplc-21">
    <w:name w:val="cat-Time grp-29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CarMakeModelgrp-31rplc-24">
    <w:name w:val="cat-CarMakeModel grp-31 rplc-24"/>
    <w:basedOn w:val="DefaultParagraphFont"/>
  </w:style>
  <w:style w:type="character" w:customStyle="1" w:styleId="cat-CarNumbergrp-34rplc-25">
    <w:name w:val="cat-CarNumber grp-34 rplc-25"/>
    <w:basedOn w:val="DefaultParagraphFont"/>
  </w:style>
  <w:style w:type="character" w:customStyle="1" w:styleId="cat-CarMakeModelgrp-32rplc-26">
    <w:name w:val="cat-CarMakeModel grp-32 rplc-26"/>
    <w:basedOn w:val="DefaultParagraphFont"/>
  </w:style>
  <w:style w:type="character" w:customStyle="1" w:styleId="cat-CarNumbergrp-35rplc-27">
    <w:name w:val="cat-CarNumber grp-3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CarMakeModelgrp-33rplc-35">
    <w:name w:val="cat-CarMakeModel grp-33 rplc-35"/>
    <w:basedOn w:val="DefaultParagraphFont"/>
  </w:style>
  <w:style w:type="character" w:customStyle="1" w:styleId="cat-CarNumbergrp-36rplc-36">
    <w:name w:val="cat-CarNumber grp-36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Timegrp-30rplc-39">
    <w:name w:val="cat-Time grp-30 rplc-39"/>
    <w:basedOn w:val="DefaultParagraphFont"/>
  </w:style>
  <w:style w:type="character" w:customStyle="1" w:styleId="cat-CarMakeModelgrp-33rplc-40">
    <w:name w:val="cat-CarMakeModel grp-33 rplc-40"/>
    <w:basedOn w:val="DefaultParagraphFont"/>
  </w:style>
  <w:style w:type="character" w:customStyle="1" w:styleId="cat-CarNumbergrp-36rplc-41">
    <w:name w:val="cat-CarNumber grp-36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Sumgrp-25rplc-45">
    <w:name w:val="cat-Sum grp-25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9rplc-47">
    <w:name w:val="cat-FIO grp-19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UserDefinedgrp-49rplc-51">
    <w:name w:val="cat-UserDefined grp-49 rplc-51"/>
    <w:basedOn w:val="DefaultParagraphFont"/>
  </w:style>
  <w:style w:type="character" w:customStyle="1" w:styleId="cat-PhoneNumbergrp-39rplc-52">
    <w:name w:val="cat-PhoneNumber grp-39 rplc-52"/>
    <w:basedOn w:val="DefaultParagraphFont"/>
  </w:style>
  <w:style w:type="character" w:customStyle="1" w:styleId="cat-PhoneNumbergrp-40rplc-53">
    <w:name w:val="cat-PhoneNumber grp-40 rplc-53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8rplc-56">
    <w:name w:val="cat-Address grp-8 rplc-56"/>
    <w:basedOn w:val="DefaultParagraphFont"/>
  </w:style>
  <w:style w:type="character" w:customStyle="1" w:styleId="cat-PhoneNumbergrp-41rplc-57">
    <w:name w:val="cat-PhoneNumber grp-41 rplc-57"/>
    <w:basedOn w:val="DefaultParagraphFont"/>
  </w:style>
  <w:style w:type="character" w:customStyle="1" w:styleId="cat-UserDefinedgrp-48rplc-58">
    <w:name w:val="cat-UserDefined grp-48 rplc-58"/>
    <w:basedOn w:val="DefaultParagraphFont"/>
  </w:style>
  <w:style w:type="character" w:customStyle="1" w:styleId="cat-UserDefinedgrp-51rplc-59">
    <w:name w:val="cat-UserDefined grp-51 rplc-59"/>
    <w:basedOn w:val="DefaultParagraphFont"/>
  </w:style>
  <w:style w:type="character" w:customStyle="1" w:styleId="cat-PhoneNumbergrp-42rplc-60">
    <w:name w:val="cat-PhoneNumber grp-42 rplc-60"/>
    <w:basedOn w:val="DefaultParagraphFont"/>
  </w:style>
  <w:style w:type="character" w:customStyle="1" w:styleId="cat-UserDefinedgrp-47rplc-61">
    <w:name w:val="cat-UserDefined grp-47 rplc-61"/>
    <w:basedOn w:val="DefaultParagraphFont"/>
  </w:style>
  <w:style w:type="character" w:customStyle="1" w:styleId="cat-Sumgrp-25rplc-62">
    <w:name w:val="cat-Sum grp-25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