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 xml:space="preserve">           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</w:t>
      </w:r>
      <w:r>
        <w:rPr>
          <w:b w:val="0"/>
          <w:bCs w:val="0"/>
          <w:i w:val="0"/>
          <w:sz w:val="28"/>
          <w:szCs w:val="28"/>
        </w:rPr>
        <w:t>Дело № 2-47/5/2022</w:t>
      </w:r>
    </w:p>
    <w:p>
      <w:pPr>
        <w:pStyle w:val="Heading2"/>
        <w:spacing w:before="0" w:after="0"/>
        <w:ind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УИД: 16MS0030-01-2022-000046-81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Хакимуллиной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Федерального казенного учреждения «Исправительная колония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исполнения наказаний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Республике Татарстан»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Краснову Сергею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суммы материального ущерба,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233-237 Гражданского процессуального кодекса Российской Федерации,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РЕШИЛ: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сковые требования Федерального казенного учреж</w:t>
      </w:r>
      <w:r>
        <w:rPr>
          <w:rFonts w:ascii="Times New Roman" w:eastAsia="Times New Roman" w:hAnsi="Times New Roman" w:cs="Times New Roman"/>
          <w:sz w:val="28"/>
          <w:szCs w:val="28"/>
        </w:rPr>
        <w:t>дения «Исправительная колония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исполнения наказаний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Татарстан»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Краснову Сергею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суммы материального ущерба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Краснова Сергея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Федерального казенного учреж</w:t>
      </w:r>
      <w:r>
        <w:rPr>
          <w:rFonts w:ascii="Times New Roman" w:eastAsia="Times New Roman" w:hAnsi="Times New Roman" w:cs="Times New Roman"/>
          <w:sz w:val="28"/>
          <w:szCs w:val="28"/>
        </w:rPr>
        <w:t>дения «Исправительная колония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исполнения наказаний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Республике Татарстан» материальный ущерб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1 779 рублей 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Краснова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 400 рублей 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ствовавшие - в течение пятнадцати дней со дня объявления резолютивной 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ционном порядке в течение одного месяца по истечении срока подачи ответч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