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Макаровой Н.В.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5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2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аренды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Истец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5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обратился в суд с иском к ответчику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аренды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обоснование своих исковых требований истец указал,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23.08.2021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аренды транспортного средства без экипажа с правом выкупа № 2/21, в соответствии с которым </w:t>
      </w:r>
      <w:r>
        <w:rPr>
          <w:rStyle w:val="cat-OrganizationNamegrp-5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(арендодатель) передал </w:t>
      </w:r>
      <w:r>
        <w:rPr>
          <w:rStyle w:val="cat-FIOgrp-3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(арендатор) за плату во временное пользование принадлежащий </w:t>
      </w:r>
      <w:r>
        <w:rPr>
          <w:rStyle w:val="cat-OrganizationNamegrp-5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праве собственности транспортное средство </w:t>
      </w:r>
      <w:r>
        <w:rPr>
          <w:rStyle w:val="cat-CarMakeModelgrp-57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344327455grp-61rplc-15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 2021 г. выпуска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 аренды за один день составила не менее 1850 рублей. В соответствии с актом приема-передачи автомобиля от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08.2021 арендатору вместе с автомобилем передано оборудование,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чехлы автомобильные на сиденья кресел (передние, задние) стоимостью 15000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п.2.1.2 договора арендатор несет все расходы, связанные с эксплуатацией автомобиля, в том числе оплату штрафов за нарушение ПДД, которая должна быть осуществлена арендатором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следующего дня с момента уведомления об этом арендатора арендодателем.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20.09.2021 </w:t>
      </w:r>
      <w:r>
        <w:rPr>
          <w:rStyle w:val="cat-FIOgrp-3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вернул арендодателю автомобиль. Согласно акту приема-передачи автомобиля от 20.09.2021 при возврате автомо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иля отсутствовали </w:t>
      </w:r>
      <w:r>
        <w:rPr>
          <w:rFonts w:ascii="Times New Roman" w:eastAsia="Times New Roman" w:hAnsi="Times New Roman" w:cs="Times New Roman"/>
          <w:sz w:val="28"/>
          <w:szCs w:val="28"/>
        </w:rPr>
        <w:t>чехлы автомобильные на сиденья кресел (передние, задние) стоимостью 15000 рублей. Указанный акт подписан ответчиком без замечаний.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 соглашения от 20.09.2021 о расторжении договора аренды на момент подписания соглашения у </w:t>
      </w:r>
      <w:r>
        <w:rPr>
          <w:rStyle w:val="cat-FIOgrp-3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задолженность по арендным платежам в размере 3700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действия договора аренды </w:t>
      </w:r>
      <w:r>
        <w:rPr>
          <w:rStyle w:val="cat-FIOgrp-3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допущены нарушения ПДД, что зафиксировано камерами, работающими в автоматическом режиме, за что на собственника транспортного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56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вынесены постановления ГИБДД на общую сумму 3000 рублей. Указанные постановления оплачены обществом.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п.2.1.4 договора аренды ответчик обязан возместить указанные убытки арендодателю. В соответствии с п.4 соглашения от 20.09.2021 ответчик задолженность не оспаривает и обязался погасить в срок до 01.10.2021</w:t>
      </w:r>
      <w:r>
        <w:rPr>
          <w:rFonts w:ascii="Times New Roman" w:eastAsia="Times New Roman" w:hAnsi="Times New Roman" w:cs="Times New Roman"/>
          <w:sz w:val="28"/>
          <w:szCs w:val="28"/>
        </w:rPr>
        <w:t>, но задолженность по настоящее время не погашена.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статей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309, 395, 330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 РФ просит взыскать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аренды транспортного средства без экипажа с правом выкупа № 2/21 от 23.08.2021 в размере 21700 рублей, в том числе задолженность по арендным платежам по договору 3700 рублей, убытки в счет возмещения расходов стоимости чехлов автомобильных на сиденья (передние и задние) 15000 рублей, убытки в счет возмещения штрафов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нарушение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3000 рублей, неустойку за задержку выплаты арендных платежей за период с 01.01.2021 по 24.11.2021 </w:t>
      </w:r>
      <w:r>
        <w:rPr>
          <w:rFonts w:ascii="Times New Roman" w:eastAsia="Times New Roman" w:hAnsi="Times New Roman" w:cs="Times New Roman"/>
          <w:sz w:val="28"/>
          <w:szCs w:val="28"/>
        </w:rPr>
        <w:t>20350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суммы 18000 рублей (стоимости чехлов автомобильных и убытков в счет возмещения штрафов за нарушение ПДД)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01.10.2021 по </w:t>
      </w:r>
      <w:r>
        <w:rPr>
          <w:rFonts w:ascii="Times New Roman" w:eastAsia="Times New Roman" w:hAnsi="Times New Roman" w:cs="Times New Roman"/>
          <w:sz w:val="28"/>
          <w:szCs w:val="28"/>
        </w:rPr>
        <w:t>15.12.2021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272,22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(с уточнением на день вынесения решения суда)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зыскивать с </w:t>
      </w:r>
      <w:r>
        <w:rPr>
          <w:rStyle w:val="cat-FIOgrp-31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со дня, следующего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решения, до момента фактического исполнения решения суда, взыскать расходы по оплате юридических услуг 10000 рублей, почтовые расходы 72,10 рубля, расходы по оплате государственной пошлины 1325,37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истц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56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 ходатайство,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дело рассмотреть в отсутствие представителя истца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взыскать расходы по отправке иска в суд 97,20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Style w:val="cat-FIOgrp-30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возражений на иск не представил.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имеются сведения об отправке судом почтового отправления в адрес ответчика, которое возвращено отправителю в связи с истечением срока хранения почтовой корреспонденции. Таким образом, процессуальная обязанность суда по извещению ответчика о рассмотрении дела исполнена судом надлежащим образом. </w:t>
      </w:r>
      <w:r>
        <w:rPr>
          <w:rFonts w:ascii="Times New Roman" w:eastAsia="Times New Roman" w:hAnsi="Times New Roman" w:cs="Times New Roman"/>
          <w:sz w:val="28"/>
          <w:szCs w:val="28"/>
        </w:rPr>
        <w:t>Как разъяснено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787423/entry/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Пленума Верховного Суда РФ от 26.06.2008 N 13 "О применении норм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8809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Гражданского процессуального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при рассмотрении и разрешении дел в суде первой инстанции" - при неявке в суд лица, извещенного в установленном порядке о времени и месте рассмотрения дела, вопрос о возможности судебного разбирательства дела решается с учетом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8809/entry/16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статей 167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Невыполнение лицами, участвующими в деле, обязанности известить суд о причинах неявки и представить доказательства уважительности этих причин, дает суду право рассмотреть дело в их отсутствие. </w:t>
      </w:r>
      <w:r>
        <w:rPr>
          <w:rFonts w:ascii="Times New Roman" w:eastAsia="Times New Roman" w:hAnsi="Times New Roman" w:cs="Times New Roman"/>
          <w:sz w:val="28"/>
          <w:szCs w:val="28"/>
        </w:rPr>
        <w:t>При неявке адресата за почтовой корреспонденцией по извещению, в силу статьи 14 Международного пакта от 16.12.1966 "О гражданских и политических правах", гарантирующих равенство всех перед судом, неявка лица в суд по указанным основаниям есть его волеизъявление, свидетельствующее об отказе от реализации своего права на непосредственное участие в разбирательстве, а потому не является преградой для рассмотрения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полагает иск подлежащим частичному удовлетворению.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ст.307 Гражданского кодекса Российской Федерации 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 Обязательства возникают из договора, вследствие причинения вреда и из иных оснований, указанных в настоящем Кодексе.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ст.614 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рендатор обязан своевременно вносить плату за пользование имуществом (арендную плату).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и абз.2 ч.2 ст.15 Гражданского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л</w:t>
      </w:r>
      <w:r>
        <w:rPr>
          <w:rFonts w:ascii="Times New Roman" w:eastAsia="Times New Roman" w:hAnsi="Times New Roman" w:cs="Times New Roman"/>
          <w:sz w:val="28"/>
          <w:szCs w:val="28"/>
        </w:rPr>
        <w:t>ицо, право которого нарушено, может требовать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1100882/entry/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полного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возмещения причиненных ему убытков, если законом или договором не предусмотрено возмещение убытков в меньшем размере. </w:t>
      </w:r>
      <w:r>
        <w:rPr>
          <w:rFonts w:ascii="Times New Roman" w:eastAsia="Times New Roman" w:hAnsi="Times New Roman" w:cs="Times New Roman"/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</w:t>
      </w:r>
      <w:hyperlink r:id="rId4" w:anchor="/multilink/10164072/paragraph/175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реальный ущерб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а также неполученные доходы, которые это лицо получило бы при обычных условиях гражданского оборота, если бы его право не было нарушено (</w:t>
      </w:r>
      <w:hyperlink r:id="rId4" w:anchor="/multilink/10164072/paragraph/175/number/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упущенная выгода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ст.330 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71360358/entry/7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неустойкой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(штрафом, пеней) признается определенная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multilink/10164072/paragraph/1752/number/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ст.333 Гражданского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сли подлежащая уплате неустойка явно несоразмерна последствиям нарушения обязательства, суд вправе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1360358/entry/8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уменьшить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и ч.3 ст.395 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80094/entry/1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ключевой ставкой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России, действовавшей в соответствующие периоды. Эти правила применяются, если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1360358/entry/3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иной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размер процентов не установлен законом или договором. Проценты за пользование чужими средствами взимаются по день уплаты суммы этих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кр</w:t>
      </w:r>
      <w:r>
        <w:rPr>
          <w:rFonts w:ascii="Times New Roman" w:eastAsia="Times New Roman" w:hAnsi="Times New Roman" w:cs="Times New Roman"/>
          <w:sz w:val="28"/>
          <w:szCs w:val="28"/>
        </w:rPr>
        <w:t>едитору, если законом, иными правовыми актами или договором не установлен для начисления процентов более короткий срок.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23.08.2021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56rplc-5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0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заключили договор аренды транспортного средства без экипажа с правом выкупа от № 2/21. Объектом аренды явился автомобиль </w:t>
      </w:r>
      <w:r>
        <w:rPr>
          <w:rStyle w:val="cat-CarMakeModelgrp-57rplc-5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087924610grp-62rplc-59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 выпуска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(л.д.7-10)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23.08.2021 стороны подписали акт приема-передачи автомобиля </w:t>
      </w:r>
      <w:r>
        <w:rPr>
          <w:rStyle w:val="cat-CarMakeModelgrp-57rplc-6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344327455grp-61rplc-63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2021 г. выпуска, комплектация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(позиция 10)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чехлы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автомобильные на сиденья (передние и задние) стоимост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15000 рублей (л.д.10).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3.1. договора стороны установили, что стоимость пользования транспортным средством (арендные платежи), переданн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арендатору, за каждый день его аренды составляет не менее 1850 рублей по графику платежей в формате 6/1, где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количество дней оплат, 1 – выходной день без оплаты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 8 оборот).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п.2.1.4 договора арендатор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несет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оплату штрафов за нарушения ПДД, при этом оплата штрафов (компенсация оплаченного арендодателем штрафа) должны быть осуществлена арендатором не позднее следующего дня с момента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этом арендатора арендодателем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.д.7 оборот).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20.09.2021 стороны подписали соглашение о расторжении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аренды транспортного средства без экипажа с правом выкупа от № 2/21 (л.д.11). Согласно п. 3 соглашения на момент подписания задолженность </w:t>
      </w:r>
      <w:r>
        <w:rPr>
          <w:rStyle w:val="cat-FIOgrp-31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r>
        <w:rPr>
          <w:rStyle w:val="cat-OrganizationNamegrp-56rplc-6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аренды составляет по арендным платежам 3700 рублей. Кроме того, в случае возможных штрафов за нарушение ПДД</w:t>
      </w:r>
      <w:r>
        <w:rPr>
          <w:rFonts w:ascii="Times New Roman" w:eastAsia="Times New Roman" w:hAnsi="Times New Roman" w:cs="Times New Roman"/>
          <w:sz w:val="28"/>
          <w:szCs w:val="28"/>
        </w:rPr>
        <w:t>, зафиксированных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камерами, работающими в автоматическом режиме, при наличии таковых, </w:t>
      </w:r>
      <w:r>
        <w:rPr>
          <w:rStyle w:val="cat-FIOgrp-30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обязуется их погасить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3-х дней с момента оповещения о наличии неоплаченных штрафов в период действия аренды транспортного средства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.д.11).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Указанное соглашение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писано сторонами, при этом </w:t>
      </w:r>
      <w:r>
        <w:rPr>
          <w:rStyle w:val="cat-FIOgrp-30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подписании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не внес.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установил, что у ответчика перед истцом имеется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арендным платежам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3700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взысканию в пользу истца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понесенных убытков в виде оплаты штрафов за нарушение ПДД, зафиксированных камерами, работающими в автоматическом режиме, в период действия аренды транспортного средства, истцом представлены: копия постановления 16 ВМ № 34237189 ОГИБДД от 02.09.2021 о наложении штрафа по 12.9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размере 500 рублей за нарушение ПДД 27.08.2021 (л.д.16), штраф оплачен </w:t>
      </w:r>
      <w:r>
        <w:rPr>
          <w:rStyle w:val="cat-OrganizationNamegrp-56rplc-7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платежным поручением № 103 от 21.09.2021 (л.д.17); копия постановления 16 ВМ № 34659986 ОГИБДД от 05.09.2021 о наложении штрафа по 12.9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размере 500 рублей за нарушение ПДД 29.08.2021 (л.д.18), штраф оплачен </w:t>
      </w:r>
      <w:r>
        <w:rPr>
          <w:rStyle w:val="cat-OrganizationNamegrp-56rplc-8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 рублей платежным поручением № 117 от 01.11.2021 (л.д.19);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постановления 16 ВМ № 346661461 ОГИБДД от 05.09.2021 о наложении штрафа по 12.9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размере 500 рублей за нарушение ПДД 29.08.2021 (л.д.20), штраф оплачен </w:t>
      </w:r>
      <w:r>
        <w:rPr>
          <w:rStyle w:val="cat-OrganizationNamegrp-56rplc-8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 рублей платежным поручением № 107 от 30.09.2021 (л.д.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постановления 16 ВМ № 34323906 ОГИБДД от 03.09.2021 о наложении штрафа по 12.9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размере 500 рублей за нарушение ПДД 28.08.2021 (л.д.22), штраф оплачен </w:t>
      </w:r>
      <w:r>
        <w:rPr>
          <w:rStyle w:val="cat-OrganizationNamegrp-56rplc-9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 рублей платежным поручением № 106 от 30.09.2021 (л.д.23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постановления 16 ВМ № 34659887 ОГИБДД от 05.09.2021 о наложении штрафа по 12.9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размере 500 рублей за нарушение ПДД 29.08.2021 (л.д.24), штраф оплачен </w:t>
      </w:r>
      <w:r>
        <w:rPr>
          <w:rStyle w:val="cat-OrganizationNamegrp-56rplc-10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500 рублей платежным поручением № 108 от 30.09.2021 (л.д.25);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постановлении № 18810116210908101653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от 08.09.2021 о наложении штрафа по 12.9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размере 500 рублей за нарушение ПДД 29.08.2021 (л.д.26-27), штраф оплачен </w:t>
      </w:r>
      <w:r>
        <w:rPr>
          <w:rStyle w:val="cat-OrganizationNamegrp-56rplc-10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 рублей платежным поручением № 109 от 30.09.2021 (л.д.28); данные о постановлении № 18810116210912400837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от 12.09.2021 о наложении штрафа по 12.9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размере 500 рублей за нарушение ПДД 04.09.2021 (л.д.29-30), штраф оплачен </w:t>
      </w:r>
      <w:r>
        <w:rPr>
          <w:rStyle w:val="cat-OrganizationNamegrp-56rplc-1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250 рублей платежным поручением № 105 от 30.09.2021 (л.д.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действия договора аренд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Style w:val="cat-OrganizationNamegrp-56rplc-1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уплатило штрафы на общую сумму 3000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Ввиду того, что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компенсации оплаченного арендодателем штрафа предусмотрена договором аренды, уплаченные </w:t>
      </w:r>
      <w:r>
        <w:rPr>
          <w:rStyle w:val="cat-OrganizationNamegrp-56rplc-1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перечисленные выше штрафы за нарушение ПДД, допущенные в период действия договора аренды, являются убытками, должны также быть взысканы с </w:t>
      </w:r>
      <w:r>
        <w:rPr>
          <w:rStyle w:val="cat-FIOgrp-31rplc-1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56rplc-1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акта приема-передачи автомобиля от 20.09.2021 следует, что отсутствуют чехлы на сиденья автомобиля стоимостью 15000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.д.12). Указанный акт подписан сторонами, при этом </w:t>
      </w:r>
      <w:r>
        <w:rPr>
          <w:rStyle w:val="cat-FIOgrp-30rplc-1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подписании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внес. Следовательно, </w:t>
      </w:r>
      <w:r>
        <w:rPr>
          <w:rStyle w:val="cat-OrganizationNamegrp-56rplc-1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понесло убытки в размере 15000 рублей, подлежащи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возмещению за счет </w:t>
      </w:r>
      <w:r>
        <w:rPr>
          <w:rStyle w:val="cat-FIOgrp-31rplc-1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5.2 договора аренды предусмотрено, что в случае задержки арендной платы более сем на 5 дней арендодатель вправе потребовать от арендатора уплаты пени (неустойки) в размере 10% от суммы задолженности за каждый день просрочки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.д.9).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Истец производит расчет с 01.10.2021 по 24.11.2021 (55 дней), что составит 3700х10%х55=20350 рублей. Учитывая, что период после расторжения договора аренды до начала исчисления неустойки составляет более 5 дней, суд соглашается с расчетом.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суд учитывает, что возможный размер убытков кредитора,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могли возникнуть вследствие нарушения обязательства, значительно ниже начисленной неустойки, что свидетельствует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неустойка явно несоразмерна последствиям нарушения обязательства, считает необходимым уменьшить размер неустойки до размера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и взыскать 3700 рублей.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Надлежит также взыскать с ответчика проценты за пользование чужими денежными средствами с сумм убытков в порядке ст.395 ГК РФ. Истец производит расчет с 01.10.2021, мотивируя расчет тем, что </w:t>
      </w:r>
      <w:r>
        <w:rPr>
          <w:rStyle w:val="cat-FIOgrp-30rplc-1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обязался оплатить долг по договору аренды до 01.10.2021.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абзац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ст.431 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2139356/entry/8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толковании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условий договора судом принимается во внимание буквальное значение содержащихся в нем слов и выражений. Буквальное значение условия договора в случае его неясности устанавливается путем сопоставления с другими условиями и смыслом договора в целом.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п.4 соглашения о расторжении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договора аренды транспортного средства без экипажа с правом выкупа от № 2/21 следует, что задолженность в п.4 настоящего соглашения </w:t>
      </w:r>
      <w:r>
        <w:rPr>
          <w:rStyle w:val="cat-FIOgrp-30rplc-1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оспаривает и обязуется погасить в срок до 01.10.2021 (л.д.11). </w:t>
      </w:r>
      <w:r>
        <w:rPr>
          <w:rFonts w:ascii="Times New Roman" w:eastAsia="Times New Roman" w:hAnsi="Times New Roman" w:cs="Times New Roman"/>
          <w:sz w:val="28"/>
          <w:szCs w:val="28"/>
        </w:rPr>
        <w:t>Однако п.4 указанного соглашения не содержит обязанности возмещения убытков в срок до 01.10.2019.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было выше указано, в случае возможных штрафов за нарушение ПДД, зафиксированных камерами, работающими в автоматическом режиме, при наличии таковых, </w:t>
      </w:r>
      <w:r>
        <w:rPr>
          <w:rStyle w:val="cat-FIOgrp-30rplc-1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обязуется их погасить в течение 3-х дней с момента оповещения о наличии неоплаченных штрафов в период действия аренды транспортного средства. Истцом не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надлежащих сведений об оповещении </w:t>
      </w:r>
      <w:r>
        <w:rPr>
          <w:rStyle w:val="cat-FIOgrp-31rplc-1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неоплаченных им штрафах.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передачи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20.09.2021 также не содержит условий о порядке и сроках возврата чехлов на сиденья стоимостью 15000 рублей либо компенсации арендодателю их стоимости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.д.12).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27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Пленума Верховного Суда РФ от 24 марта 2016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"О применении судами некоторых положений Гражданского кодекса Российской Федерации об ответственности за нарушение обязательств"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причинителя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 по уплате процентов,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64072/entry/39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395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ГК РФ, возникает со дня вступления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суда, которым удовлетворено требование потерпевшего о возмещении причиненных убытков, если иной момент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законе, при просрочке их уплаты должником.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подлежат удовлетворению требования истца о взыскании процентов за пользование чужими денежными средствами с сумм убытков – стоимости чехлов на сиденья 15000 рублей и компенсации оплаты штрафов за нарушения ПДД 3000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вступления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ст.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Ввиду того, что иск удовлетворен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(99,36% с 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том положений ст.333 ГК РФ)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взыскать с ответчика в пользу истца расходы по оплаченной государственной пошлине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1461,50 рублей от суммы требований 3700+20350+3000+15000=42050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на оплату юридических услуг 993,60 рублей, почтовые расходы 169,40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32rplc-1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55rplc-1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аренды транспортного средства без экипажа с правом выкупа от 23.08.2021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2/21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 задолженность по арендным платежам по договору 3700 рублей, убытки в счет возмещения расходов стоимости чехлов автомобильных передних и задних 15000 рублей, убытки в счет возмещения штрафов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3000 рублей, неустойку за задержку выплаты арендных платежей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с 01.1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по 24.11.2021 </w:t>
      </w:r>
      <w:r>
        <w:rPr>
          <w:rFonts w:ascii="Times New Roman" w:eastAsia="Times New Roman" w:hAnsi="Times New Roman" w:cs="Times New Roman"/>
          <w:sz w:val="28"/>
          <w:szCs w:val="28"/>
        </w:rPr>
        <w:t>3700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юридических услуг </w:t>
      </w:r>
      <w:r>
        <w:rPr>
          <w:rFonts w:ascii="Times New Roman" w:eastAsia="Times New Roman" w:hAnsi="Times New Roman" w:cs="Times New Roman"/>
          <w:sz w:val="28"/>
          <w:szCs w:val="28"/>
        </w:rPr>
        <w:t>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 60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копеек, 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1461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Взыскивать с </w:t>
      </w:r>
      <w:r>
        <w:rPr>
          <w:rStyle w:val="cat-FIOgrp-32rplc-1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55rplc-16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исчисляемых </w:t>
      </w:r>
      <w:r>
        <w:rPr>
          <w:rFonts w:ascii="Times New Roman" w:eastAsia="Times New Roman" w:hAnsi="Times New Roman" w:cs="Times New Roman"/>
          <w:sz w:val="28"/>
          <w:szCs w:val="28"/>
        </w:rPr>
        <w:t>с сумм у</w:t>
      </w:r>
      <w:r>
        <w:rPr>
          <w:rFonts w:ascii="Times New Roman" w:eastAsia="Times New Roman" w:hAnsi="Times New Roman" w:cs="Times New Roman"/>
          <w:sz w:val="28"/>
          <w:szCs w:val="28"/>
        </w:rPr>
        <w:t>бытков стоимости чехлов автомобильных передних и задних 15000 рублей, убытков в счет возмещения штрафов за нарушение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дня, следующего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вступления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 до момента фактического исполнения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OrganizationNamegrp-55rplc-1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иске к </w:t>
      </w:r>
      <w:r>
        <w:rPr>
          <w:rStyle w:val="cat-FIOgrp-27rplc-1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остальной ее части, превышающей размер удовлетворенных требований, отказать.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составлено 16 февраля 2022 г.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55rplc-6">
    <w:name w:val="cat-OrganizationName grp-55 rplc-6"/>
    <w:basedOn w:val="DefaultParagraphFont"/>
  </w:style>
  <w:style w:type="character" w:customStyle="1" w:styleId="cat-FIOgrp-27rplc-7">
    <w:name w:val="cat-FIO grp-27 rplc-7"/>
    <w:basedOn w:val="DefaultParagraphFont"/>
  </w:style>
  <w:style w:type="character" w:customStyle="1" w:styleId="cat-OrganizationNamegrp-56rplc-8">
    <w:name w:val="cat-OrganizationName grp-56 rplc-8"/>
    <w:basedOn w:val="DefaultParagraphFont"/>
  </w:style>
  <w:style w:type="character" w:customStyle="1" w:styleId="cat-FIOgrp-30rplc-9">
    <w:name w:val="cat-FIO grp-30 rplc-9"/>
    <w:basedOn w:val="DefaultParagraphFont"/>
  </w:style>
  <w:style w:type="character" w:customStyle="1" w:styleId="cat-OrganizationNamegrp-56rplc-11">
    <w:name w:val="cat-OrganizationName grp-56 rplc-11"/>
    <w:basedOn w:val="DefaultParagraphFont"/>
  </w:style>
  <w:style w:type="character" w:customStyle="1" w:styleId="cat-FIOgrp-30rplc-12">
    <w:name w:val="cat-FIO grp-30 rplc-12"/>
    <w:basedOn w:val="DefaultParagraphFont"/>
  </w:style>
  <w:style w:type="character" w:customStyle="1" w:styleId="cat-OrganizationNamegrp-56rplc-13">
    <w:name w:val="cat-OrganizationName grp-56 rplc-13"/>
    <w:basedOn w:val="DefaultParagraphFont"/>
  </w:style>
  <w:style w:type="character" w:customStyle="1" w:styleId="cat-CarMakeModelgrp-57rplc-14">
    <w:name w:val="cat-CarMakeModel grp-57 rplc-14"/>
    <w:basedOn w:val="DefaultParagraphFont"/>
  </w:style>
  <w:style w:type="character" w:customStyle="1" w:styleId="cat-UserDefined1344327455grp-61rplc-15">
    <w:name w:val="cat-UserDefined1344327455 grp-61 rplc-15"/>
    <w:basedOn w:val="DefaultParagraphFont"/>
  </w:style>
  <w:style w:type="character" w:customStyle="1" w:styleId="cat-FIOgrp-30rplc-21">
    <w:name w:val="cat-FIO grp-30 rplc-21"/>
    <w:basedOn w:val="DefaultParagraphFont"/>
  </w:style>
  <w:style w:type="character" w:customStyle="1" w:styleId="cat-FIOgrp-31rplc-25">
    <w:name w:val="cat-FIO grp-31 rplc-25"/>
    <w:basedOn w:val="DefaultParagraphFont"/>
  </w:style>
  <w:style w:type="character" w:customStyle="1" w:styleId="cat-FIOgrp-30rplc-27">
    <w:name w:val="cat-FIO grp-30 rplc-27"/>
    <w:basedOn w:val="DefaultParagraphFont"/>
  </w:style>
  <w:style w:type="character" w:customStyle="1" w:styleId="cat-OrganizationNamegrp-56rplc-28">
    <w:name w:val="cat-OrganizationName grp-56 rplc-28"/>
    <w:basedOn w:val="DefaultParagraphFont"/>
  </w:style>
  <w:style w:type="character" w:customStyle="1" w:styleId="cat-FIOgrp-31rplc-46">
    <w:name w:val="cat-FIO grp-31 rplc-46"/>
    <w:basedOn w:val="DefaultParagraphFont"/>
  </w:style>
  <w:style w:type="character" w:customStyle="1" w:styleId="cat-OrganizationNamegrp-56rplc-50">
    <w:name w:val="cat-OrganizationName grp-56 rplc-50"/>
    <w:basedOn w:val="DefaultParagraphFont"/>
  </w:style>
  <w:style w:type="character" w:customStyle="1" w:styleId="cat-FIOgrp-30rplc-52">
    <w:name w:val="cat-FIO grp-30 rplc-52"/>
    <w:basedOn w:val="DefaultParagraphFont"/>
  </w:style>
  <w:style w:type="character" w:customStyle="1" w:styleId="cat-OrganizationNamegrp-56rplc-56">
    <w:name w:val="cat-OrganizationName grp-56 rplc-56"/>
    <w:basedOn w:val="DefaultParagraphFont"/>
  </w:style>
  <w:style w:type="character" w:customStyle="1" w:styleId="cat-FIOgrp-30rplc-57">
    <w:name w:val="cat-FIO grp-30 rplc-57"/>
    <w:basedOn w:val="DefaultParagraphFont"/>
  </w:style>
  <w:style w:type="character" w:customStyle="1" w:styleId="cat-CarMakeModelgrp-57rplc-58">
    <w:name w:val="cat-CarMakeModel grp-57 rplc-58"/>
    <w:basedOn w:val="DefaultParagraphFont"/>
  </w:style>
  <w:style w:type="character" w:customStyle="1" w:styleId="cat-UserDefined-1087924610grp-62rplc-59">
    <w:name w:val="cat-UserDefined-1087924610 grp-62 rplc-59"/>
    <w:basedOn w:val="DefaultParagraphFont"/>
  </w:style>
  <w:style w:type="character" w:customStyle="1" w:styleId="cat-CarMakeModelgrp-57rplc-62">
    <w:name w:val="cat-CarMakeModel grp-57 rplc-62"/>
    <w:basedOn w:val="DefaultParagraphFont"/>
  </w:style>
  <w:style w:type="character" w:customStyle="1" w:styleId="cat-UserDefined1344327455grp-61rplc-63">
    <w:name w:val="cat-UserDefined1344327455 grp-61 rplc-63"/>
    <w:basedOn w:val="DefaultParagraphFont"/>
  </w:style>
  <w:style w:type="character" w:customStyle="1" w:styleId="cat-FIOgrp-31rplc-68">
    <w:name w:val="cat-FIO grp-31 rplc-68"/>
    <w:basedOn w:val="DefaultParagraphFont"/>
  </w:style>
  <w:style w:type="character" w:customStyle="1" w:styleId="cat-OrganizationNamegrp-56rplc-69">
    <w:name w:val="cat-OrganizationName grp-56 rplc-69"/>
    <w:basedOn w:val="DefaultParagraphFont"/>
  </w:style>
  <w:style w:type="character" w:customStyle="1" w:styleId="cat-FIOgrp-30rplc-71">
    <w:name w:val="cat-FIO grp-30 rplc-71"/>
    <w:basedOn w:val="DefaultParagraphFont"/>
  </w:style>
  <w:style w:type="character" w:customStyle="1" w:styleId="cat-FIOgrp-30rplc-72">
    <w:name w:val="cat-FIO grp-30 rplc-72"/>
    <w:basedOn w:val="DefaultParagraphFont"/>
  </w:style>
  <w:style w:type="character" w:customStyle="1" w:styleId="cat-OrganizationNamegrp-56rplc-77">
    <w:name w:val="cat-OrganizationName grp-56 rplc-77"/>
    <w:basedOn w:val="DefaultParagraphFont"/>
  </w:style>
  <w:style w:type="character" w:customStyle="1" w:styleId="cat-OrganizationNamegrp-56rplc-83">
    <w:name w:val="cat-OrganizationName grp-56 rplc-83"/>
    <w:basedOn w:val="DefaultParagraphFont"/>
  </w:style>
  <w:style w:type="character" w:customStyle="1" w:styleId="cat-OrganizationNamegrp-56rplc-89">
    <w:name w:val="cat-OrganizationName grp-56 rplc-89"/>
    <w:basedOn w:val="DefaultParagraphFont"/>
  </w:style>
  <w:style w:type="character" w:customStyle="1" w:styleId="cat-OrganizationNamegrp-56rplc-95">
    <w:name w:val="cat-OrganizationName grp-56 rplc-95"/>
    <w:basedOn w:val="DefaultParagraphFont"/>
  </w:style>
  <w:style w:type="character" w:customStyle="1" w:styleId="cat-OrganizationNamegrp-56rplc-101">
    <w:name w:val="cat-OrganizationName grp-56 rplc-101"/>
    <w:basedOn w:val="DefaultParagraphFont"/>
  </w:style>
  <w:style w:type="character" w:customStyle="1" w:styleId="cat-OrganizationNamegrp-56rplc-107">
    <w:name w:val="cat-OrganizationName grp-56 rplc-107"/>
    <w:basedOn w:val="DefaultParagraphFont"/>
  </w:style>
  <w:style w:type="character" w:customStyle="1" w:styleId="cat-OrganizationNamegrp-56rplc-113">
    <w:name w:val="cat-OrganizationName grp-56 rplc-113"/>
    <w:basedOn w:val="DefaultParagraphFont"/>
  </w:style>
  <w:style w:type="character" w:customStyle="1" w:styleId="cat-OrganizationNamegrp-56rplc-116">
    <w:name w:val="cat-OrganizationName grp-56 rplc-116"/>
    <w:basedOn w:val="DefaultParagraphFont"/>
  </w:style>
  <w:style w:type="character" w:customStyle="1" w:styleId="cat-OrganizationNamegrp-56rplc-118">
    <w:name w:val="cat-OrganizationName grp-56 rplc-118"/>
    <w:basedOn w:val="DefaultParagraphFont"/>
  </w:style>
  <w:style w:type="character" w:customStyle="1" w:styleId="cat-FIOgrp-31rplc-119">
    <w:name w:val="cat-FIO grp-31 rplc-119"/>
    <w:basedOn w:val="DefaultParagraphFont"/>
  </w:style>
  <w:style w:type="character" w:customStyle="1" w:styleId="cat-OrganizationNamegrp-56rplc-120">
    <w:name w:val="cat-OrganizationName grp-56 rplc-120"/>
    <w:basedOn w:val="DefaultParagraphFont"/>
  </w:style>
  <w:style w:type="character" w:customStyle="1" w:styleId="cat-FIOgrp-30rplc-123">
    <w:name w:val="cat-FIO grp-30 rplc-123"/>
    <w:basedOn w:val="DefaultParagraphFont"/>
  </w:style>
  <w:style w:type="character" w:customStyle="1" w:styleId="cat-OrganizationNamegrp-56rplc-124">
    <w:name w:val="cat-OrganizationName grp-56 rplc-124"/>
    <w:basedOn w:val="DefaultParagraphFont"/>
  </w:style>
  <w:style w:type="character" w:customStyle="1" w:styleId="cat-FIOgrp-31rplc-126">
    <w:name w:val="cat-FIO grp-31 rplc-126"/>
    <w:basedOn w:val="DefaultParagraphFont"/>
  </w:style>
  <w:style w:type="character" w:customStyle="1" w:styleId="cat-FIOgrp-30rplc-131">
    <w:name w:val="cat-FIO grp-30 rplc-131"/>
    <w:basedOn w:val="DefaultParagraphFont"/>
  </w:style>
  <w:style w:type="character" w:customStyle="1" w:styleId="cat-FIOgrp-30rplc-133">
    <w:name w:val="cat-FIO grp-30 rplc-133"/>
    <w:basedOn w:val="DefaultParagraphFont"/>
  </w:style>
  <w:style w:type="character" w:customStyle="1" w:styleId="cat-FIOgrp-30rplc-136">
    <w:name w:val="cat-FIO grp-30 rplc-136"/>
    <w:basedOn w:val="DefaultParagraphFont"/>
  </w:style>
  <w:style w:type="character" w:customStyle="1" w:styleId="cat-FIOgrp-31rplc-137">
    <w:name w:val="cat-FIO grp-31 rplc-137"/>
    <w:basedOn w:val="DefaultParagraphFont"/>
  </w:style>
  <w:style w:type="character" w:customStyle="1" w:styleId="cat-FIOgrp-32rplc-146">
    <w:name w:val="cat-FIO grp-32 rplc-146"/>
    <w:basedOn w:val="DefaultParagraphFont"/>
  </w:style>
  <w:style w:type="character" w:customStyle="1" w:styleId="cat-OrganizationNamegrp-55rplc-147">
    <w:name w:val="cat-OrganizationName grp-55 rplc-147"/>
    <w:basedOn w:val="DefaultParagraphFont"/>
  </w:style>
  <w:style w:type="character" w:customStyle="1" w:styleId="cat-FIOgrp-32rplc-160">
    <w:name w:val="cat-FIO grp-32 rplc-160"/>
    <w:basedOn w:val="DefaultParagraphFont"/>
  </w:style>
  <w:style w:type="character" w:customStyle="1" w:styleId="cat-OrganizationNamegrp-55rplc-161">
    <w:name w:val="cat-OrganizationName grp-55 rplc-161"/>
    <w:basedOn w:val="DefaultParagraphFont"/>
  </w:style>
  <w:style w:type="character" w:customStyle="1" w:styleId="cat-OrganizationNamegrp-55rplc-164">
    <w:name w:val="cat-OrganizationName grp-55 rplc-164"/>
    <w:basedOn w:val="DefaultParagraphFont"/>
  </w:style>
  <w:style w:type="character" w:customStyle="1" w:styleId="cat-FIOgrp-27rplc-165">
    <w:name w:val="cat-FIO grp-27 rplc-1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