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ind w:left="284" w:firstLine="85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№2-10/22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РЕШЕНИЕ 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ИМЕНЕМ РОССИЙСКОЙ ФЕДЕРАЦИИ 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ind w:left="284" w:firstLine="850"/>
        <w:jc w:val="center"/>
        <w:rPr>
          <w:sz w:val="28"/>
          <w:szCs w:val="28"/>
        </w:rPr>
      </w:pPr>
    </w:p>
    <w:p>
      <w:pPr>
        <w:widowControl w:val="0"/>
        <w:tabs>
          <w:tab w:val="right" w:pos="5074"/>
        </w:tabs>
        <w:spacing w:before="0" w:after="0" w:line="260" w:lineRule="atLeast"/>
        <w:ind w:left="284"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Нижнекамск Республики Татарстан</w:t>
      </w:r>
    </w:p>
    <w:p>
      <w:pPr>
        <w:widowControl w:val="0"/>
        <w:spacing w:before="0" w:after="303" w:line="260" w:lineRule="atLeast"/>
        <w:ind w:left="284" w:firstLine="85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>ул. Кайманова, д.7</w:t>
      </w:r>
    </w:p>
    <w:p>
      <w:pPr>
        <w:widowControl w:val="0"/>
        <w:spacing w:before="0" w:after="0" w:line="322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 при секретаре судебного заседания Вафиной В.Р. с участием представителя истца Ку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емина А.В., рассмотрев в открытом судебном заседании гражданское дело по иску Егорова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муниципальному бюджетному учреждению «Дирекция единого заказчика города Нижнекамска» (МБУ «ДЕЗ»)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материального ущерба, причиненного дорожно-транспортным происшествием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244" w:line="322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194-198 Гражданского процессуального кодекса Российской Федерации,</w:t>
      </w:r>
    </w:p>
    <w:p>
      <w:pPr>
        <w:widowControl w:val="0"/>
        <w:spacing w:before="0" w:after="0" w:line="317" w:lineRule="atLeast"/>
        <w:ind w:left="284" w:firstLine="85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муниципального бюджетного учреждения «Дирекция единого заказчика г. Нижнекамск» 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Егорова </w:t>
      </w:r>
      <w:r>
        <w:rPr>
          <w:rStyle w:val="cat-UserDefinedgrp-16rplc-12"/>
          <w:rFonts w:ascii="Times New Roman" w:eastAsia="Times New Roman" w:hAnsi="Times New Roman" w:cs="Times New Roman"/>
          <w:sz w:val="28"/>
          <w:szCs w:val="28"/>
        </w:rPr>
        <w:t>К.В.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стоимость восстановительного ремонта автомобиля </w:t>
      </w:r>
      <w:r>
        <w:rPr>
          <w:rFonts w:ascii="Times New Roman" w:eastAsia="Times New Roman" w:hAnsi="Times New Roman" w:cs="Times New Roman"/>
          <w:sz w:val="28"/>
          <w:szCs w:val="28"/>
        </w:rPr>
        <w:t>21500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 по оплате услуг </w:t>
      </w:r>
      <w:r>
        <w:rPr>
          <w:rFonts w:ascii="Times New Roman" w:eastAsia="Times New Roman" w:hAnsi="Times New Roman" w:cs="Times New Roman"/>
          <w:sz w:val="28"/>
          <w:szCs w:val="28"/>
        </w:rPr>
        <w:t>оценщика 2000 рублей, расходы по проведению судебной экспертизы 13000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845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расходы по оплате юридических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услуг представителя </w:t>
      </w:r>
      <w:r>
        <w:rPr>
          <w:rFonts w:ascii="Times New Roman" w:eastAsia="Times New Roman" w:hAnsi="Times New Roman" w:cs="Times New Roman"/>
          <w:sz w:val="28"/>
          <w:szCs w:val="28"/>
        </w:rPr>
        <w:t>7500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удовлетворении остальной части иска отказать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ind w:left="284" w:firstLine="85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244" w:line="317" w:lineRule="atLeast"/>
        <w:ind w:left="284" w:firstLine="85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Нижнекамский городской суд Республики Татарстан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tabs>
          <w:tab w:val="right" w:pos="8233"/>
        </w:tabs>
        <w:spacing w:before="0" w:after="0" w:line="312" w:lineRule="atLeast"/>
        <w:ind w:left="284" w:firstLine="85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widowControl w:val="0"/>
        <w:tabs>
          <w:tab w:val="right" w:pos="8233"/>
        </w:tabs>
        <w:spacing w:before="0" w:after="0" w:line="312" w:lineRule="atLeast"/>
        <w:ind w:left="284" w:firstLine="85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8">
    <w:name w:val="cat-UserDefined grp-16 rplc-8"/>
    <w:basedOn w:val="DefaultParagraphFont"/>
  </w:style>
  <w:style w:type="character" w:customStyle="1" w:styleId="cat-UserDefinedgrp-16rplc-12">
    <w:name w:val="cat-UserDefined grp-16 rplc-12"/>
    <w:basedOn w:val="DefaultParagraphFont"/>
  </w:style>
  <w:style w:type="character" w:customStyle="1" w:styleId="cat-UserDefinedgrp-17rplc-19">
    <w:name w:val="cat-UserDefined grp-1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