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3EA" w:rsidP="006203EA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>Дело № 2-1912/2022</w:t>
      </w:r>
    </w:p>
    <w:p w:rsidR="006203EA" w:rsidP="006203EA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0096-01-2022-003088-67</w:t>
      </w:r>
    </w:p>
    <w:p w:rsidR="006203EA" w:rsidP="006203EA">
      <w:pPr>
        <w:ind w:left="-567" w:right="-1" w:firstLine="900"/>
        <w:jc w:val="right"/>
        <w:rPr>
          <w:sz w:val="28"/>
          <w:szCs w:val="28"/>
        </w:rPr>
      </w:pPr>
    </w:p>
    <w:p w:rsidR="006203EA" w:rsidP="006203EA">
      <w:pPr>
        <w:pStyle w:val="Title"/>
        <w:ind w:right="-1"/>
        <w:rPr>
          <w:szCs w:val="28"/>
        </w:rPr>
      </w:pPr>
      <w:r>
        <w:rPr>
          <w:szCs w:val="28"/>
        </w:rPr>
        <w:t>РЕШЕНИЕ</w:t>
      </w:r>
    </w:p>
    <w:p w:rsidR="006203EA" w:rsidP="006203EA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203EA" w:rsidP="006203EA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6203EA" w:rsidP="006203EA">
      <w:pPr>
        <w:ind w:right="-1" w:firstLine="720"/>
        <w:jc w:val="center"/>
        <w:rPr>
          <w:sz w:val="28"/>
          <w:szCs w:val="28"/>
        </w:rPr>
      </w:pPr>
    </w:p>
    <w:p w:rsidR="006203EA" w:rsidP="006203E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августа 2022 года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6203EA" w:rsidP="006203EA">
      <w:pPr>
        <w:ind w:right="-1" w:firstLine="720"/>
        <w:jc w:val="both"/>
        <w:rPr>
          <w:sz w:val="16"/>
          <w:szCs w:val="16"/>
        </w:rPr>
      </w:pPr>
    </w:p>
    <w:p w:rsidR="006203EA" w:rsidP="006203EA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исполняющий обязанности мирового судьи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4 по Бугульминскому судебному району Республики Татарстан, при секретаре Хабибуллиной Ю.Д., рассмотрев в открытом судебном заседании гражданское дело по иску общества с ограниченной ответственностью «Бугульма-Водоканал» к Петухову </w:t>
      </w:r>
      <w:r w:rsidR="00805895">
        <w:rPr>
          <w:sz w:val="28"/>
          <w:szCs w:val="28"/>
        </w:rPr>
        <w:t>*</w:t>
      </w:r>
      <w:r>
        <w:rPr>
          <w:sz w:val="28"/>
          <w:szCs w:val="28"/>
        </w:rPr>
        <w:t xml:space="preserve">, Петуховой </w:t>
      </w:r>
      <w:r w:rsidR="00805895">
        <w:rPr>
          <w:sz w:val="28"/>
          <w:szCs w:val="28"/>
        </w:rPr>
        <w:t>*</w:t>
      </w:r>
      <w:r>
        <w:rPr>
          <w:sz w:val="28"/>
          <w:szCs w:val="28"/>
        </w:rPr>
        <w:t xml:space="preserve">, Петухову </w:t>
      </w:r>
      <w:r w:rsidR="00805895">
        <w:rPr>
          <w:sz w:val="28"/>
          <w:szCs w:val="28"/>
        </w:rPr>
        <w:t>*</w:t>
      </w:r>
      <w:r>
        <w:rPr>
          <w:sz w:val="28"/>
          <w:szCs w:val="28"/>
        </w:rPr>
        <w:t>о взыскании задолженности за предоставленные коммунальные услуги,</w:t>
      </w:r>
    </w:p>
    <w:p w:rsidR="006203EA" w:rsidP="006203EA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статьей 199 Гражданского кодекса Российской Федерации, статьями 194-199 Гражданского процессуального кодекса Российской Федерации, </w:t>
      </w:r>
    </w:p>
    <w:p w:rsidR="006203EA" w:rsidP="006203EA">
      <w:pPr>
        <w:ind w:right="99" w:firstLine="709"/>
        <w:jc w:val="both"/>
        <w:rPr>
          <w:sz w:val="28"/>
          <w:szCs w:val="28"/>
        </w:rPr>
      </w:pPr>
    </w:p>
    <w:p w:rsidR="006203EA" w:rsidP="006203EA">
      <w:pPr>
        <w:pStyle w:val="BodyTextInden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203EA" w:rsidP="006203EA">
      <w:pPr>
        <w:pStyle w:val="BodyTextIndent"/>
        <w:ind w:right="-1"/>
        <w:jc w:val="center"/>
        <w:rPr>
          <w:sz w:val="16"/>
          <w:szCs w:val="16"/>
        </w:rPr>
      </w:pPr>
    </w:p>
    <w:p w:rsidR="006203EA" w:rsidP="006203E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удовлетворении исковых требований общества с ограниченной ответственностью «Бугульма-Водоканал» к Петухову </w:t>
      </w:r>
      <w:r w:rsidR="00805895">
        <w:rPr>
          <w:sz w:val="28"/>
          <w:szCs w:val="28"/>
        </w:rPr>
        <w:t>*</w:t>
      </w:r>
      <w:r w:rsidR="00805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Петуховой </w:t>
      </w:r>
      <w:r w:rsidR="00805895">
        <w:rPr>
          <w:sz w:val="28"/>
          <w:szCs w:val="28"/>
        </w:rPr>
        <w:t>*</w:t>
      </w:r>
      <w:r>
        <w:rPr>
          <w:sz w:val="28"/>
          <w:szCs w:val="28"/>
        </w:rPr>
        <w:t xml:space="preserve">, Петухову </w:t>
      </w:r>
      <w:r w:rsidR="00805895">
        <w:rPr>
          <w:sz w:val="28"/>
          <w:szCs w:val="28"/>
        </w:rPr>
        <w:t>*</w:t>
      </w:r>
      <w:r>
        <w:rPr>
          <w:sz w:val="28"/>
          <w:szCs w:val="28"/>
        </w:rPr>
        <w:t>о взыскании задолженности за предоставленные коммунальные услуги отказать в связи с применением срока исковой давности.</w:t>
      </w:r>
    </w:p>
    <w:p w:rsidR="006203EA" w:rsidP="006203E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Стороны вправе подать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203EA" w:rsidP="006203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203EA" w:rsidP="006203E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6203EA" w:rsidP="006203E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03EA" w:rsidP="006203EA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6203EA" w:rsidP="006203E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6203EA" w:rsidP="006203E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6203EA" w:rsidP="006203EA">
      <w:pPr>
        <w:pStyle w:val="BodyTextIndent"/>
        <w:ind w:left="142" w:right="-1"/>
        <w:jc w:val="left"/>
        <w:rPr>
          <w:sz w:val="28"/>
          <w:szCs w:val="28"/>
        </w:rPr>
      </w:pPr>
    </w:p>
    <w:p w:rsidR="006203EA" w:rsidP="006203E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6203EA" w:rsidP="006203EA">
      <w:pPr>
        <w:pStyle w:val="BodyTextIndent"/>
        <w:ind w:left="142" w:right="-1"/>
        <w:jc w:val="left"/>
        <w:rPr>
          <w:sz w:val="28"/>
          <w:szCs w:val="28"/>
        </w:rPr>
      </w:pPr>
    </w:p>
    <w:p w:rsidR="006203EA" w:rsidP="006203EA">
      <w:r>
        <w:rPr>
          <w:sz w:val="28"/>
          <w:szCs w:val="28"/>
        </w:rPr>
        <w:t xml:space="preserve">            Мировой судья:                                              Федотова Д.А.  </w:t>
      </w:r>
    </w:p>
    <w:sectPr w:rsidSect="006203E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43"/>
    <w:rsid w:val="000F6043"/>
    <w:rsid w:val="006203EA"/>
    <w:rsid w:val="00805895"/>
    <w:rsid w:val="00F55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203E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20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203EA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203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6203EA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6203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203EA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6203E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203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