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Подлинник данного решения приобщен к гражданскому делу №2-1374/6/2022 мирового судьи судебного участка №6 по </w:t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Альметьевскому</w:t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A96ED2" w:rsidRPr="00A96ED2" w:rsidP="00A96E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ED2" w:rsidRPr="00A96ED2" w:rsidP="00A9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№2-1374/6/2022</w:t>
      </w:r>
    </w:p>
    <w:p w:rsidR="00A96ED2" w:rsidRPr="00A96ED2" w:rsidP="00A9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№16</w:t>
      </w:r>
      <w:r w:rsidRPr="00A96E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0087-01-2022-002297-07</w:t>
      </w:r>
    </w:p>
    <w:p w:rsidR="00A96ED2" w:rsidRPr="00A96ED2" w:rsidP="00A96E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Е Н И Е</w:t>
      </w:r>
    </w:p>
    <w:p w:rsidR="00A96ED2" w:rsidRPr="00A96ED2" w:rsidP="00A9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A96ED2" w:rsidRPr="00A96ED2" w:rsidP="00A96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19 августа 2022 года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г.Альметьевск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 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секретаре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Сабировой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И.Ф.,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Микрофинансовая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компания «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Займер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» к Ларину К</w:t>
      </w:r>
      <w:r w:rsidR="008E490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8E490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A96ED2" w:rsidRPr="00A96ED2" w:rsidP="00A96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обоснование иска указано, что 14.10.2021г. между сторонами заключен договор займа на сумму 12000 рублей, ответчик обязательства по возврату денежных средств не исполняет, задолженность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составляет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30000 рублей, из них: основной долг – 12000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рублей, проценты –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17257 рублей 59 копеек, пени – 742 рубля 41 копейка, которые истец просит взыскать, а также 1100 рублей в возврат государственной пошлины.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Представитель истца 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, ответчик Ларин К.С. просили рассмотреть дело в их отсутствие. Ответчик представил возражение на исковое заявление, просит в удовлетворении иска отказать.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Исследовав материалы дела, мировой судья приходит к следующему.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В силу ч.1 ст.56 Гражданского процессуального кодекса Российской Федерации (далее – ГПК РФ) каждая сторона должна доказать те обстоятельства, на которые она ссылается как на основание своих требований и возражений.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anchor="/document/10164072/entry/42101" w:history="1">
        <w:r w:rsidRPr="00A96ED2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п.1 ст.421</w:t>
        </w:r>
      </w:hyperlink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(далее – ГК РФ) граждане и юридические лица свободны в заключении договора.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A96E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309</w:t>
        </w:r>
      </w:hyperlink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A96ED2" w:rsidRP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A96E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ст.807</w:t>
        </w:r>
      </w:hyperlink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 (</w:t>
      </w:r>
      <w:hyperlink r:id="rId7" w:history="1">
        <w:r w:rsidRPr="00A96E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п.1 ст.809</w:t>
        </w:r>
      </w:hyperlink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РФ).</w:t>
      </w:r>
    </w:p>
    <w:p w:rsidR="00A96ED2" w:rsidRP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 обязан возвратить заимодавцу полученную сумму займа в срок и в порядке, которые предусмотрены договором займа (</w:t>
      </w:r>
      <w:hyperlink r:id="rId8" w:history="1">
        <w:r w:rsidRPr="00A96E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ст.810</w:t>
        </w:r>
      </w:hyperlink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РФ).</w:t>
      </w:r>
    </w:p>
    <w:p w:rsidR="00A96ED2" w:rsidRP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</w:t>
      </w:r>
      <w:hyperlink r:id="rId9" w:history="1">
        <w:r w:rsidRPr="00A96E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п.3 ст.807</w:t>
        </w:r>
      </w:hyperlink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РФ).</w:t>
      </w:r>
    </w:p>
    <w:p w:rsidR="00A96ED2" w:rsidRP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Порядок, размер и условия предоставления 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микрозаймов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предусмотрены Федеральным </w:t>
      </w:r>
      <w:hyperlink r:id="rId10" w:history="1">
        <w:r w:rsidRPr="00A96E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02.07.2010г. N151-ФЗ «О 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микрофинансовой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и 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микрофинансовых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организациях».</w:t>
      </w:r>
    </w:p>
    <w:p w:rsidR="00A96ED2" w:rsidRPr="00A96ED2" w:rsidP="00A96E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2.1 ст.3 названного закона предусмотрено, что 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микрофинансовые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14.10.2021г. между обществом с ограниченной ответственностью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Микрофинансовая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компания «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Займер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» (далее – ООО МФК «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Займер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») и ответчиком заключен договор потребительского займа №12657585, в соответствии с которым ответчику предоставлены денежные средства в размере 12000 рублей сроком на 30 дней под 365% годовых (1% в день), ответчик обязался возвратить 13.11.2021г. сумму займа и уплатить проценты в размере 3600 рублей. 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заключен в электронном виде, заемщиком договор подписан аналогом собственноручной подписи в соответствии с п.2 ст.160 ГК РФ, согласно которому письменная форма сделки считается соблюденной также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Заем предоставлен путем перечисления денежных средств на банковский счет/ карту ответчика (№553691хххххх1969).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условиями договора, кредитор не вправе начислять проценты, неустойку (штрафы, пени), иные меры ответственности по договору потребительского займа, а также платежи за услуги, оказываемые за отдельную плату по договору займа, после того как сумма начисленных процентов, неустойки (штрафа, пени), иных мер ответственности, а также платежей за услуги, оказываемые кредитором заемщику за отдельную плату, достигнет полуторакратного размера суммы займа.</w:t>
      </w:r>
    </w:p>
    <w:p w:rsidR="00A96ED2" w:rsidRPr="00A96ED2" w:rsidP="00A9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В нарушение условий договора займа ответчик не исполнил обязательства по возврату денежных средств.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расчетом задолженности, представленным истцом, сумма долга составляет 29257 рублей 59 копеек, из них: основной долг – 12000 рублей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A96ED2">
        <w:rPr>
          <w:rFonts w:ascii="Times New Roman" w:eastAsia="Calibri" w:hAnsi="Times New Roman" w:cs="Times New Roman"/>
          <w:sz w:val="26"/>
          <w:szCs w:val="26"/>
        </w:rPr>
        <w:t xml:space="preserve">00 копеек, проценты за период с 15.10.2021г. по 13.11.2021г. – 3600 рублей 00 копеек, проценты за период с 14.11.2021г. по 29.06.2022г. – 13657 рублей 59 копеек. 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 xml:space="preserve">Пунктом 12 договора займа предусмотрена ответственность заемщика за ненадлежащее исполнение условий договора: начисление неустойки в размере 20% годовых на непогашенную часть суммы основного долга. 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За период с 14.11.2021г. по 29.06.2022г. начисл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ены пени в размере </w:t>
      </w:r>
      <w:r w:rsidRPr="00A96ED2">
        <w:rPr>
          <w:rFonts w:ascii="Times New Roman" w:eastAsia="Calibri" w:hAnsi="Times New Roman" w:cs="Times New Roman"/>
          <w:sz w:val="26"/>
          <w:szCs w:val="26"/>
        </w:rPr>
        <w:t>742 рубля 41 копейка, таким образом, общая сумма задолженности составляет 30000 рублей.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 xml:space="preserve">Так как ответчик доказательства по уплате задолженности по договору займа не представил, мировой судья берет за основу расчеты истца. Расчет задолженности </w:t>
      </w:r>
      <w:r w:rsidRPr="00A96ED2">
        <w:rPr>
          <w:rFonts w:ascii="Times New Roman" w:eastAsia="Calibri" w:hAnsi="Times New Roman" w:cs="Times New Roman"/>
          <w:sz w:val="26"/>
          <w:szCs w:val="26"/>
        </w:rPr>
        <w:t>проверен и признан правильным, поскольку он соответствует условиям договора займа.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Поскольку заемщиком не были исполнены надлежащим образом обязательства по возврату полученных денежных средств и уплате начисленных на них процентов, требования истца о взыскании задолженности по договору займа подлежат удовлетворению.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Договор заключен в электронном виде с соблюдением простой письменной формы посредством использования функционала сайта истца в сети интернет, расположенного по адресу www.zaymer.ru.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Для получения вышеуказанного займа Лариным К.С. подана заявка через сайт с указанием его паспортных данных и иной информации. При этом подача заявки на получение займа возможна только после создания учетной записи и посредством ее использования.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Одновременно при подаче заявки на получение займа, заемщик направил займодавцу согласие на обработку персональных данных, присоединился к правилам предоставления и обслуживания потребительских займов, общим условиями договора потребительского займа и Соглашению об использовании аналога собственноручной подписи. Заемщик, не присоединившийся к вышеуказанным документам, технически лишается возможности перейти к следующему этапу регистрации. Заявка проверяется в автоматическом режиме в специализированной программе оценки кредитоспособности заемщиков.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Заемщик подписывает договор займа аналогом собственноручной подписи, в соответствии с </w:t>
      </w:r>
      <w:hyperlink r:id="rId4" w:anchor="/document/10164072/entry/1602" w:history="1">
        <w:r w:rsidRPr="00A96ED2">
          <w:rPr>
            <w:rFonts w:ascii="Times New Roman" w:eastAsia="Calibri" w:hAnsi="Times New Roman" w:cs="Times New Roman"/>
            <w:sz w:val="26"/>
            <w:szCs w:val="26"/>
          </w:rPr>
          <w:t>п.2 ст.160</w:t>
        </w:r>
      </w:hyperlink>
      <w:r w:rsidRPr="00A96ED2">
        <w:rPr>
          <w:rFonts w:ascii="Times New Roman" w:eastAsia="Calibri" w:hAnsi="Times New Roman" w:cs="Times New Roman"/>
          <w:sz w:val="26"/>
          <w:szCs w:val="26"/>
        </w:rPr>
        <w:t> ГК РФ и Законом «Об электронной подписи».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Порядок использования аналога собственноручной подписи (далее – АСП) определяется Соглашением об использовании аналога собственноручной подписи. АСП состоит из индивидуального ключа (кода) с использованием учетной записи заемщика, а также информации, присоединяемой к подписываемым электронным документам, которая позволяет идентифицировать заемщика. Индивидуальный ключ (код) направляется заемщику посредством СМС на его телефонный номер, указанный в заявке на получение займа, после ознакомления заемщика с условиями договора займа в личном кабинете и подтверждения согласия с его условиями.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>Таким образом, доводы ответчика, изложенные в возражениях на исковое заявление, о том, что договор займа не заключался, несостоятельны, в нарушение требований ст.56 ГПК РФ доказательствами не подтверждены.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 xml:space="preserve">На основании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ст.96 ГПК РФ. 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D2">
        <w:rPr>
          <w:rFonts w:ascii="Times New Roman" w:eastAsia="Calibri" w:hAnsi="Times New Roman" w:cs="Times New Roman"/>
          <w:sz w:val="26"/>
          <w:szCs w:val="26"/>
        </w:rPr>
        <w:t xml:space="preserve">С ответчика подлежит взысканию в пользу истца 1100 рублей в возврат уплаченной государственной пошлины. 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Руководствуясь статьями 12, 56, 194-198 ГПК РФ, мировой судья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Р Е Ш И Л:</w:t>
      </w:r>
    </w:p>
    <w:p w:rsidR="00A96ED2" w:rsidRPr="00A96ED2" w:rsidP="00A96E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 Ларина К</w:t>
      </w:r>
      <w:r w:rsidR="008E49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E49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общества с ограниченной ответственностью 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Микрофинансовая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 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Займер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ОГРН 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задолженность по договору потребительского займа №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96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14.10.2021г. в размере 30000 рублей и расходы по уплате государственной пошлины – 1100 рублей.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 может быть обжаловано в Альметьевский городской суд Республики Татарстан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через мирового судью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месяца со дня его принятия.</w:t>
      </w:r>
    </w:p>
    <w:p w:rsidR="00A96ED2" w:rsidRPr="00A96ED2" w:rsidP="00A96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6ED2" w:rsidRPr="00A96ED2" w:rsidP="00A96E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A96E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96ED2" w:rsidRPr="00A96ED2" w:rsidP="00A96E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Альметьевскому</w:t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Ф.Р. </w:t>
      </w: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вступило в законную силу 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 2022 года</w:t>
      </w: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ED2" w:rsidRPr="00A96ED2" w:rsidP="00A96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ED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A96ED2" w:rsidRPr="00A96ED2" w:rsidP="00A96ED2">
      <w:pPr>
        <w:spacing w:after="200" w:line="276" w:lineRule="auto"/>
        <w:rPr>
          <w:rFonts w:ascii="Calibri" w:eastAsia="Calibri" w:hAnsi="Calibri" w:cs="Times New Roman"/>
        </w:rPr>
      </w:pPr>
    </w:p>
    <w:p w:rsidR="007F182B"/>
    <w:sectPr w:rsidSect="00A96ED2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 w:rsidP="00E74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7724" w:rsidP="00E745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4903">
      <w:rPr>
        <w:noProof/>
      </w:rPr>
      <w:t>2</w:t>
    </w:r>
    <w:r>
      <w:rPr>
        <w:noProof/>
      </w:rPr>
      <w:fldChar w:fldCharType="end"/>
    </w:r>
  </w:p>
  <w:p w:rsidR="008F7724" w:rsidP="00E745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2"/>
    <w:rsid w:val="007F182B"/>
    <w:rsid w:val="008E4903"/>
    <w:rsid w:val="008F7724"/>
    <w:rsid w:val="00A96ED2"/>
    <w:rsid w:val="00E74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42A397-9ECB-4102-8BE4-27F20C84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9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96ED2"/>
  </w:style>
  <w:style w:type="character" w:styleId="PageNumber">
    <w:name w:val="page number"/>
    <w:uiPriority w:val="99"/>
    <w:rsid w:val="00A96E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398E61C58DD7BB5DAAC3538F65F307D591F685CA3CDAC693E445B92kD28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2F398E61C58DD7BB5DAAC3538F65F307D591D6C5CA1CDAC693E445B92D8F24A4669794C4C152C64kA2BL" TargetMode="External" /><Relationship Id="rId6" Type="http://schemas.openxmlformats.org/officeDocument/2006/relationships/hyperlink" Target="consultantplus://offline/ref=D2F398E61C58DD7BB5DAAC3538F65F307D591D6C5FA5CDAC693E445B92D8F24A4669794C4C152D63kA23L" TargetMode="External" /><Relationship Id="rId7" Type="http://schemas.openxmlformats.org/officeDocument/2006/relationships/hyperlink" Target="consultantplus://offline/ref=D2F398E61C58DD7BB5DAAC3538F65F307D591D6C5FA5CDAC693E445B92D8F24A4669794C4C152D64kA2DL" TargetMode="External" /><Relationship Id="rId8" Type="http://schemas.openxmlformats.org/officeDocument/2006/relationships/hyperlink" Target="consultantplus://offline/ref=D2F398E61C58DD7BB5DAAC3538F65F307D591D6C5FA5CDAC693E445B92D8F24A4669794C4C152D65kA2AL" TargetMode="External" /><Relationship Id="rId9" Type="http://schemas.openxmlformats.org/officeDocument/2006/relationships/hyperlink" Target="consultantplus://offline/ref=D2F398E61C58DD7BB5DAAC3538F65F307D591D6C5FA5CDAC693E445B92D8F24A4669794C4Ek12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