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решения приобщен к гражданскому делу №2-</w:t>
      </w:r>
      <w:r w:rsidR="00604693">
        <w:rPr>
          <w:rFonts w:ascii="Times New Roman" w:eastAsia="Calibri" w:hAnsi="Times New Roman" w:cs="Times New Roman"/>
          <w:sz w:val="24"/>
          <w:szCs w:val="24"/>
          <w:lang w:eastAsia="ru-RU"/>
        </w:rPr>
        <w:t>934</w:t>
      </w:r>
      <w:r w:rsidR="004D2112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77EB2" w:rsidRPr="00477EB2" w:rsidP="00477E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934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/6/2022</w:t>
      </w: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1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0087-01-2022-00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1522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</w:p>
    <w:p w:rsidR="002A1ADF" w:rsidRPr="002A1ADF" w:rsidP="002A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ADF" w:rsidRPr="002A1ADF" w:rsidP="002A1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июня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Сабировой И.Ф.,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Экспресс-Кредит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» к Козину А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у о взыскании задолженности по договору займа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77EB2" w:rsidRPr="00477EB2" w:rsidP="00477E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обоснование иска указано, что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08.04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. между обществ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ответчиком заключен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 займа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рублей. На основании договор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уступки права требования по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 займа уступлены истцу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обязательства по возврату денежных средств не исполняет, з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адолженность 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125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из них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основной долг –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–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4C7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 истец просит взыскать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ответчика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7EB2"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10000 рублей – судебные издержки, 500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552540" w:rsid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 государственной пошлины.</w:t>
      </w:r>
    </w:p>
    <w:p w:rsidR="00DF0B8E" w:rsidRPr="00477EB2" w:rsidP="00DF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истца 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просил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рассмотреть дело в е</w:t>
      </w:r>
      <w:r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DF0B8E" w:rsidRPr="00477EB2" w:rsidP="00DF0B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Ответчик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Козин А.Г.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судебное заседание не явился, извещен надлежащим образом.</w:t>
      </w:r>
    </w:p>
    <w:p w:rsidR="00552540" w:rsidRPr="00552540" w:rsidP="00552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552540" w:rsidRPr="00552540" w:rsidP="00552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ч.1 ст.56 Гражданского процессуального кодекса Российской Федерации (далее – ГПК РФ) каждая сторона должна доказать те обстоятельства, на которые она ссылается как на основание своих требований и возражений.</w:t>
      </w:r>
    </w:p>
    <w:p w:rsidR="00552540" w:rsidRPr="00552540" w:rsidP="005525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10164072/entry/42101" w:history="1">
        <w:r w:rsidRPr="0055254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п.1 ст.421</w:t>
        </w:r>
      </w:hyperlink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(далее – ГК РФ) граждане и юридические лица свободны в заключении договора.</w:t>
      </w:r>
    </w:p>
    <w:p w:rsidR="00477EB2" w:rsidP="00552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требований - в соответствии с обычаями или иными обычно предъявляемыми требованиями.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ст.807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по договору займа одна сторона (заимодавец) передает в собственность другой стороне (заемщику) деньги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7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 ст.809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477EB2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обязан возвратить заимодавцу полученную сумму займа в срок и в порядке, которые предусмотрены договором займа (</w:t>
      </w:r>
      <w:hyperlink r:id="rId8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ст.810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hyperlink r:id="rId9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п.3 ст.807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условия предоставления микрозаймов предусмотрены Федеральным </w:t>
      </w:r>
      <w:hyperlink r:id="rId10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02.07.2010г. N151-ФЗ «О микрофинансовой деятельности и микрофинансовых организациях».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2.1 ст.3 названного закона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D23B61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05.04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Микро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финансовая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 08.05.2021г. произведена смена фирменного наименования на общество с ограниченной ответственностью Микрокредитная компания «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ООО М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ответчиком заключен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которым ответчику предоставле</w:t>
      </w:r>
      <w:r w:rsidR="00E37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 денежные средства в размере </w:t>
      </w:r>
      <w:r w:rsidR="0046347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022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463478">
        <w:rPr>
          <w:rFonts w:ascii="Times New Roman" w:eastAsia="Calibri" w:hAnsi="Times New Roman" w:cs="Times New Roman"/>
          <w:sz w:val="28"/>
          <w:szCs w:val="28"/>
          <w:lang w:eastAsia="ru-RU"/>
        </w:rPr>
        <w:t>23 дня</w:t>
      </w:r>
      <w:r w:rsidR="00DE6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365,000% годовых (1% в день)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обязался возвратить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уплатить проценты 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единовременным платежом в размере </w:t>
      </w:r>
      <w:r w:rsidR="00DE6EE8">
        <w:rPr>
          <w:rFonts w:ascii="Times New Roman" w:eastAsia="Calibri" w:hAnsi="Times New Roman" w:cs="Times New Roman"/>
          <w:sz w:val="28"/>
          <w:szCs w:val="28"/>
          <w:lang w:eastAsia="ru-RU"/>
        </w:rPr>
        <w:t>6150 рублей</w:t>
      </w:r>
      <w:r w:rsidR="00DC6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них: основной долг – </w:t>
      </w:r>
      <w:r w:rsidR="00DE6EE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DE6EE8">
        <w:rPr>
          <w:rFonts w:ascii="Times New Roman" w:eastAsia="Calibri" w:hAnsi="Times New Roman" w:cs="Times New Roman"/>
          <w:sz w:val="28"/>
          <w:szCs w:val="28"/>
          <w:lang w:eastAsia="ru-RU"/>
        </w:rPr>
        <w:t>1150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Заем предоставлен путем перечисления </w:t>
      </w:r>
      <w:r w:rsidR="00512F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08.04.2021г. 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денежных средств на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банковский счет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>/ карту ответчика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B75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условиями договора,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займодавец не вправе начислять заемщику проценты, неустойку (штрафы, пени), иные меры ответственности по договору займа, а также платежи за услуги, оказываемые за отдельную плату по договору займа в случае, если сумма начисленных процентов, неустойки (штрафа, пени),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х мер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ответственности, а также платеж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услуги, оказываемые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кредитором заемщику за отдельную плату, достигнет полуторакратного размера суммы займа.</w:t>
      </w:r>
    </w:p>
    <w:p w:rsidR="005E565C" w:rsidRPr="005E565C" w:rsidP="005E56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5E565C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ст.384</w:t>
        </w:r>
      </w:hyperlink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ГК РФ,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существовали к моменту перехода </w:t>
      </w: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>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DA1B75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21.09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права требования по 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договору займа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ООО М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уступлены истцу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договора уступки прав требования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3B61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</w:rPr>
        <w:t>В н</w:t>
      </w:r>
      <w:r w:rsidR="008358BB">
        <w:rPr>
          <w:rFonts w:ascii="Times New Roman" w:eastAsia="Calibri" w:hAnsi="Times New Roman" w:cs="Times New Roman"/>
          <w:sz w:val="28"/>
          <w:szCs w:val="28"/>
        </w:rPr>
        <w:t xml:space="preserve">арушение условий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="00CE1735">
        <w:rPr>
          <w:rFonts w:ascii="Times New Roman" w:eastAsia="Calibri" w:hAnsi="Times New Roman" w:cs="Times New Roman"/>
          <w:sz w:val="28"/>
          <w:szCs w:val="28"/>
        </w:rPr>
        <w:t>ответчик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не исполн</w:t>
      </w:r>
      <w:r w:rsidR="003837E4">
        <w:rPr>
          <w:rFonts w:ascii="Times New Roman" w:eastAsia="Calibri" w:hAnsi="Times New Roman" w:cs="Times New Roman"/>
          <w:sz w:val="28"/>
          <w:szCs w:val="28"/>
        </w:rPr>
        <w:t>ил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обязательства по возврату </w:t>
      </w:r>
      <w:r w:rsidR="008358BB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ECD" w:rsidP="00631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соответствии с расчетом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, представленным истцом, сумма долга 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за период с </w:t>
      </w:r>
      <w:r w:rsidR="00DE6EE8">
        <w:rPr>
          <w:rFonts w:ascii="Times New Roman" w:eastAsia="Calibri" w:hAnsi="Times New Roman" w:cs="Times New Roman"/>
          <w:sz w:val="28"/>
          <w:szCs w:val="28"/>
        </w:rPr>
        <w:t>08.04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.2021г. по </w:t>
      </w:r>
      <w:r w:rsidR="00DE6EE8">
        <w:rPr>
          <w:rFonts w:ascii="Times New Roman" w:eastAsia="Calibri" w:hAnsi="Times New Roman" w:cs="Times New Roman"/>
          <w:sz w:val="28"/>
          <w:szCs w:val="28"/>
        </w:rPr>
        <w:t>05.09</w:t>
      </w:r>
      <w:r w:rsidR="007C28AE">
        <w:rPr>
          <w:rFonts w:ascii="Times New Roman" w:eastAsia="Calibri" w:hAnsi="Times New Roman" w:cs="Times New Roman"/>
          <w:sz w:val="28"/>
          <w:szCs w:val="28"/>
        </w:rPr>
        <w:t>.2021г</w:t>
      </w:r>
      <w:r w:rsidR="005E56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DE6EE8">
        <w:rPr>
          <w:rFonts w:ascii="Times New Roman" w:eastAsia="Calibri" w:hAnsi="Times New Roman" w:cs="Times New Roman"/>
          <w:sz w:val="28"/>
          <w:szCs w:val="28"/>
        </w:rPr>
        <w:t>125</w:t>
      </w:r>
      <w:r w:rsidR="005E565C">
        <w:rPr>
          <w:rFonts w:ascii="Times New Roman" w:eastAsia="Calibri" w:hAnsi="Times New Roman" w:cs="Times New Roman"/>
          <w:sz w:val="28"/>
          <w:szCs w:val="28"/>
        </w:rPr>
        <w:t>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основной до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лг – </w:t>
      </w:r>
      <w:r w:rsidR="00DE6EE8">
        <w:rPr>
          <w:rFonts w:ascii="Times New Roman" w:eastAsia="Calibri" w:hAnsi="Times New Roman" w:cs="Times New Roman"/>
          <w:sz w:val="28"/>
          <w:szCs w:val="28"/>
        </w:rPr>
        <w:t>5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 xml:space="preserve">000 рублей, проценты – </w:t>
      </w:r>
      <w:r w:rsidR="007C28AE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E6EE8">
        <w:rPr>
          <w:rFonts w:ascii="Times New Roman" w:eastAsia="Calibri" w:hAnsi="Times New Roman" w:cs="Times New Roman"/>
          <w:sz w:val="28"/>
          <w:szCs w:val="28"/>
        </w:rPr>
        <w:t>75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F33" w:rsidRPr="00631ECD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Так как ответчик иных доказательств по уплате задолженности по </w:t>
      </w:r>
      <w:r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28F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31ECD">
        <w:rPr>
          <w:rFonts w:ascii="Times New Roman" w:eastAsia="Calibri" w:hAnsi="Times New Roman" w:cs="Times New Roman"/>
          <w:sz w:val="28"/>
          <w:szCs w:val="28"/>
        </w:rPr>
        <w:t>не представил, мировой судья берет за основу расчеты истца.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33">
        <w:rPr>
          <w:rFonts w:ascii="Times New Roman" w:eastAsia="Calibri" w:hAnsi="Times New Roman" w:cs="Times New Roman"/>
          <w:sz w:val="28"/>
          <w:szCs w:val="28"/>
        </w:rPr>
        <w:t xml:space="preserve">Расчет задолженности проверен и признан правильным, поскольку он соответствует условиям договора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28AE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ответчика поступило ходатайство об уменьшении размера процентов до 100% основного долга.</w:t>
      </w:r>
    </w:p>
    <w:p w:rsidR="006F74B5" w:rsidRPr="006F74B5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условиями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F74B5">
        <w:rPr>
          <w:rFonts w:ascii="Times New Roman" w:eastAsia="Calibri" w:hAnsi="Times New Roman" w:cs="Times New Roman"/>
          <w:sz w:val="28"/>
          <w:szCs w:val="28"/>
        </w:rPr>
        <w:t>заемщик обязался возвратить полученные денежные средства и уплатить начисленные на них проценты.</w:t>
      </w:r>
      <w:r w:rsidR="004D0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877">
        <w:rPr>
          <w:rFonts w:ascii="Times New Roman" w:eastAsia="Calibri" w:hAnsi="Times New Roman" w:cs="Times New Roman"/>
          <w:sz w:val="28"/>
          <w:szCs w:val="28"/>
        </w:rPr>
        <w:t>О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тветчик ознакомлен с информацией о полной стоимости </w:t>
      </w:r>
      <w:r w:rsidR="00914877"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, общими условиями </w:t>
      </w:r>
      <w:r w:rsidR="00914877">
        <w:rPr>
          <w:rFonts w:ascii="Times New Roman" w:eastAsia="Calibri" w:hAnsi="Times New Roman" w:cs="Times New Roman"/>
          <w:sz w:val="28"/>
          <w:szCs w:val="28"/>
        </w:rPr>
        <w:t>договора займа, о перечне и размере платежей, связанных с получением, обслуживанием и возвратом займа, о возможных негативных последствиях, в том числе о возможном увеличении суммы расходов при несвоевременном исполнении обязательств по договору.</w:t>
      </w:r>
      <w:r w:rsidR="004D0F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74B5">
        <w:rPr>
          <w:rFonts w:ascii="Times New Roman" w:eastAsia="Calibri" w:hAnsi="Times New Roman" w:cs="Times New Roman"/>
          <w:sz w:val="28"/>
          <w:szCs w:val="28"/>
        </w:rPr>
        <w:t xml:space="preserve">Обстоятельства заключения договора </w:t>
      </w:r>
      <w:r w:rsidR="00914877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F74B5">
        <w:rPr>
          <w:rFonts w:ascii="Times New Roman" w:eastAsia="Calibri" w:hAnsi="Times New Roman" w:cs="Times New Roman"/>
          <w:sz w:val="28"/>
          <w:szCs w:val="28"/>
        </w:rPr>
        <w:t>ответчиком не оспариваются.</w:t>
      </w:r>
    </w:p>
    <w:p w:rsidR="00AE5831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85F">
        <w:rPr>
          <w:rFonts w:ascii="Times New Roman" w:eastAsia="Calibri" w:hAnsi="Times New Roman" w:cs="Times New Roman"/>
          <w:sz w:val="28"/>
          <w:szCs w:val="28"/>
        </w:rPr>
        <w:t>При этом стороной ответчика не представлено доказательств того, что заключение договора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займа</w:t>
      </w:r>
      <w:r w:rsidRPr="0094685F">
        <w:rPr>
          <w:rFonts w:ascii="Times New Roman" w:eastAsia="Calibri" w:hAnsi="Times New Roman" w:cs="Times New Roman"/>
          <w:sz w:val="28"/>
          <w:szCs w:val="28"/>
        </w:rPr>
        <w:t xml:space="preserve"> на содержащихся в нем условиях являлось вынужденным, что </w:t>
      </w:r>
      <w:r w:rsidR="007057E5">
        <w:rPr>
          <w:rFonts w:ascii="Times New Roman" w:eastAsia="Calibri" w:hAnsi="Times New Roman" w:cs="Times New Roman"/>
          <w:sz w:val="28"/>
          <w:szCs w:val="28"/>
        </w:rPr>
        <w:t>он был лишен</w:t>
      </w:r>
      <w:r w:rsidRPr="0094685F">
        <w:rPr>
          <w:rFonts w:ascii="Times New Roman" w:eastAsia="Calibri" w:hAnsi="Times New Roman" w:cs="Times New Roman"/>
          <w:sz w:val="28"/>
          <w:szCs w:val="28"/>
        </w:rPr>
        <w:t xml:space="preserve"> возможности вести переговоры об условиях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94685F">
        <w:rPr>
          <w:rFonts w:ascii="Times New Roman" w:eastAsia="Calibri" w:hAnsi="Times New Roman" w:cs="Times New Roman"/>
          <w:sz w:val="28"/>
          <w:szCs w:val="28"/>
        </w:rPr>
        <w:t>, либо заключить аналогичный договор с третьими лицами на иных условиях.</w:t>
      </w:r>
    </w:p>
    <w:p w:rsidR="0094685F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ри заключении </w:t>
      </w:r>
      <w:r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разногласий по размеру процентов за 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ответчик не заявлял. Расчет процентов за пользование </w:t>
      </w:r>
      <w:r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E448FB">
        <w:rPr>
          <w:rFonts w:ascii="Times New Roman" w:eastAsia="Calibri" w:hAnsi="Times New Roman" w:cs="Times New Roman"/>
          <w:sz w:val="28"/>
          <w:szCs w:val="28"/>
        </w:rPr>
        <w:t xml:space="preserve"> верен и учитывает соглашение сторон о размере процентов. Таким образом, требования истца о взыскании процентов по договору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E448FB">
        <w:rPr>
          <w:rFonts w:ascii="Times New Roman" w:eastAsia="Calibri" w:hAnsi="Times New Roman" w:cs="Times New Roman"/>
          <w:sz w:val="28"/>
          <w:szCs w:val="28"/>
        </w:rPr>
        <w:t>правомерны.</w:t>
      </w:r>
    </w:p>
    <w:p w:rsidR="0006600B" w:rsidRPr="0006600B" w:rsidP="0006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Оснований для уменьшения процентов за пользование </w:t>
      </w:r>
      <w:r w:rsidR="006D6530"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6D6530">
        <w:rPr>
          <w:rFonts w:ascii="Times New Roman" w:eastAsia="Calibri" w:hAnsi="Times New Roman" w:cs="Times New Roman"/>
          <w:sz w:val="28"/>
          <w:szCs w:val="28"/>
        </w:rPr>
        <w:t>мирового судьи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не имеется, поскольку данные проценты не являются мерой гражданско-правовой ответственности, а являются платой за пользование денежными средствами, предусмотренной договором </w:t>
      </w:r>
      <w:r w:rsidR="006D6530"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06600B">
        <w:rPr>
          <w:rFonts w:ascii="Times New Roman" w:eastAsia="Calibri" w:hAnsi="Times New Roman" w:cs="Times New Roman"/>
          <w:sz w:val="28"/>
          <w:szCs w:val="28"/>
        </w:rPr>
        <w:t>, которые согласно </w:t>
      </w:r>
      <w:hyperlink r:id="rId4" w:anchor="/document/10164072/entry/809" w:history="1">
        <w:r w:rsidRPr="006D6530" w:rsidR="006D653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ст.</w:t>
        </w:r>
        <w:r w:rsidRPr="006D653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809</w:t>
        </w:r>
      </w:hyperlink>
      <w:r w:rsidRPr="006D6530">
        <w:rPr>
          <w:rFonts w:ascii="Times New Roman" w:eastAsia="Calibri" w:hAnsi="Times New Roman" w:cs="Times New Roman"/>
          <w:sz w:val="28"/>
          <w:szCs w:val="28"/>
        </w:rPr>
        <w:t> </w:t>
      </w:r>
      <w:r w:rsidRPr="0006600B">
        <w:rPr>
          <w:rFonts w:ascii="Times New Roman" w:eastAsia="Calibri" w:hAnsi="Times New Roman" w:cs="Times New Roman"/>
          <w:sz w:val="28"/>
          <w:szCs w:val="28"/>
        </w:rPr>
        <w:t>ГК РФ подлежат взысканию в полном объеме в соответствии с условиями договора.</w:t>
      </w:r>
    </w:p>
    <w:p w:rsidR="0006600B" w:rsidRPr="0006600B" w:rsidP="000660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Снижение размера процентов за пользование </w:t>
      </w:r>
      <w:r w:rsidR="007057E5">
        <w:rPr>
          <w:rFonts w:ascii="Times New Roman" w:eastAsia="Calibri" w:hAnsi="Times New Roman" w:cs="Times New Roman"/>
          <w:sz w:val="28"/>
          <w:szCs w:val="28"/>
        </w:rPr>
        <w:t>займом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противоречит принципам гражданского законодательства, в соответствии с которыми 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каждое обязательство должно исполняться надлежащим образом, а в случае неисполнения обязательства соответствующая сторона должна нести установленную законом или договором ответственность. В случае необоснованного снижения процентов происходит и утрата присущей ей обеспечительной функции, состоящей в стимулировании сторон обязательства к его надлежащему исполнению. </w:t>
      </w:r>
    </w:p>
    <w:p w:rsidR="0094685F" w:rsidRPr="00AE5831" w:rsidP="006D6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057E5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заемщиком не были исполнены надлежащим образом обязательства </w:t>
      </w:r>
      <w:r w:rsidR="006D6530">
        <w:rPr>
          <w:rFonts w:ascii="Times New Roman" w:eastAsia="Calibri" w:hAnsi="Times New Roman" w:cs="Times New Roman"/>
          <w:sz w:val="28"/>
          <w:szCs w:val="28"/>
        </w:rPr>
        <w:t>по возврату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денежны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средства и уплат</w:t>
      </w:r>
      <w:r w:rsidR="006D6530">
        <w:rPr>
          <w:rFonts w:ascii="Times New Roman" w:eastAsia="Calibri" w:hAnsi="Times New Roman" w:cs="Times New Roman"/>
          <w:sz w:val="28"/>
          <w:szCs w:val="28"/>
        </w:rPr>
        <w:t>е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начисленны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 них процент</w:t>
      </w:r>
      <w:r w:rsidR="006D6530">
        <w:rPr>
          <w:rFonts w:ascii="Times New Roman" w:eastAsia="Calibri" w:hAnsi="Times New Roman" w:cs="Times New Roman"/>
          <w:sz w:val="28"/>
          <w:szCs w:val="28"/>
        </w:rPr>
        <w:t>ов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требования истца о взыскании денежных средств подлежат удовлетворению</w:t>
      </w:r>
      <w:r w:rsidR="006D6530">
        <w:rPr>
          <w:rFonts w:ascii="Times New Roman" w:eastAsia="Calibri" w:hAnsi="Times New Roman" w:cs="Times New Roman"/>
          <w:sz w:val="28"/>
          <w:szCs w:val="28"/>
        </w:rPr>
        <w:t>, ходатайство ответчика об уменьшении размера процентов удовлетворению не подлежит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47D0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На основании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604693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ст.94 ГПК РФ </w:t>
      </w:r>
      <w:r w:rsidRPr="00365F11">
        <w:rPr>
          <w:rFonts w:ascii="Times New Roman" w:eastAsia="Calibri" w:hAnsi="Times New Roman" w:cs="Times New Roman"/>
          <w:sz w:val="28"/>
          <w:szCs w:val="28"/>
        </w:rPr>
        <w:t>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оплату услуг представителей относятся</w:t>
      </w:r>
      <w:r w:rsidRPr="00365F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365F11">
        <w:rPr>
          <w:rFonts w:ascii="Times New Roman" w:eastAsia="Calibri" w:hAnsi="Times New Roman" w:cs="Times New Roman"/>
          <w:sz w:val="28"/>
          <w:szCs w:val="28"/>
        </w:rPr>
        <w:t xml:space="preserve">издержкам, связанным </w:t>
      </w:r>
      <w:r>
        <w:rPr>
          <w:rFonts w:ascii="Times New Roman" w:eastAsia="Calibri" w:hAnsi="Times New Roman" w:cs="Times New Roman"/>
          <w:sz w:val="28"/>
          <w:szCs w:val="28"/>
        </w:rPr>
        <w:t>с рассмотрением дела.</w:t>
      </w:r>
    </w:p>
    <w:p w:rsidR="00604693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01.05.2021г. между ООО «Экспресс-Кредит» и 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договор №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оказание юридических услуг, стоимость расценки за услугу по составлению искового заявления установлен</w:t>
      </w:r>
      <w:r w:rsidR="000F3A45">
        <w:rPr>
          <w:rFonts w:ascii="Times New Roman" w:eastAsia="Calibri" w:hAnsi="Times New Roman" w:cs="Times New Roman"/>
          <w:sz w:val="28"/>
          <w:szCs w:val="28"/>
        </w:rPr>
        <w:t xml:space="preserve">а в размере </w:t>
      </w:r>
      <w:r>
        <w:rPr>
          <w:rFonts w:ascii="Times New Roman" w:eastAsia="Calibri" w:hAnsi="Times New Roman" w:cs="Times New Roman"/>
          <w:sz w:val="28"/>
          <w:szCs w:val="28"/>
        </w:rPr>
        <w:t>10000 рублей.</w:t>
      </w:r>
    </w:p>
    <w:p w:rsidR="00D777E7" w:rsidRPr="00D777E7" w:rsidP="00D77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E7">
        <w:rPr>
          <w:rFonts w:ascii="Times New Roman" w:eastAsia="Calibri" w:hAnsi="Times New Roman" w:cs="Times New Roman"/>
          <w:sz w:val="28"/>
          <w:szCs w:val="28"/>
        </w:rPr>
        <w:t>Согласно п.10 Постановления Пленума Верховного Суда Российской Федерации от 21.01.2016 N1 «О некоторых вопросах применения законодательства о возмещении издержек, связанных с рассмотрением дела» (далее – Постановление) лицо, заявляющее о взыскании судебных издержек, должно доказать факт их несения, а также связь между понесенными указанным лицом издержками и делом, рассматриваемым в суде с его участием. Недоказанность данных обстоятельств является основанием для отказа в возмещении судебных издержек.</w:t>
      </w:r>
    </w:p>
    <w:p w:rsidR="00D777E7" w:rsidRPr="00D777E7" w:rsidP="00D77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E7">
        <w:rPr>
          <w:rFonts w:ascii="Times New Roman" w:eastAsia="Calibri" w:hAnsi="Times New Roman" w:cs="Times New Roman"/>
          <w:sz w:val="28"/>
          <w:szCs w:val="28"/>
        </w:rPr>
        <w:t>Разрешая вопрос о размере сумм, взыскиваемых в возмещение судебных издержек, суд не вправе уменьшать его произвольно, если другая сторона не заявляет возражения и не представляет доказательства чрезмерности взыскиваемых с нее расходов (</w:t>
      </w:r>
      <w:hyperlink r:id="rId12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 3 статьи 111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АПК РФ, </w:t>
      </w:r>
      <w:hyperlink r:id="rId13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 4 статьи 1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ГПК РФ, </w:t>
      </w:r>
      <w:hyperlink r:id="rId14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 4 статьи 2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КАС РФ).</w:t>
      </w:r>
    </w:p>
    <w:p w:rsidR="00D777E7" w:rsidP="00D77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E7">
        <w:rPr>
          <w:rFonts w:ascii="Times New Roman" w:eastAsia="Calibri" w:hAnsi="Times New Roman" w:cs="Times New Roman"/>
          <w:sz w:val="28"/>
          <w:szCs w:val="28"/>
        </w:rPr>
        <w:t>Вместе с тем в целях реализации задачи судопроизводства по справедливому публичному судебному разбирательству, обеспечения необходимого баланса процессуальных прав и обязанностей сторон (</w:t>
      </w:r>
      <w:hyperlink r:id="rId15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2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35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ГПК РФ, </w:t>
      </w:r>
      <w:hyperlink r:id="rId17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3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45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КАС РФ, </w:t>
      </w:r>
      <w:hyperlink r:id="rId19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статьи 2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0" w:history="1">
        <w:r w:rsidRPr="00D777E7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41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АПК РФ) суд вправе уменьшить размер судебных издержек, в том числе расходов на оплату услуг представителя, если заявленная к взысканию сумма издержек, исходя из имеющихся в деле доказательств, носит явно неразумный (чрезмерный) характер (п.11 Постановления).</w:t>
      </w:r>
    </w:p>
    <w:p w:rsidR="00D777E7" w:rsidRPr="00D777E7" w:rsidP="00D77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D777E7">
        <w:rPr>
          <w:rFonts w:ascii="Times New Roman" w:eastAsia="Calibri" w:hAnsi="Times New Roman" w:cs="Times New Roman"/>
          <w:sz w:val="28"/>
          <w:szCs w:val="28"/>
        </w:rPr>
        <w:t>аличие договорных отношений между ист</w:t>
      </w:r>
      <w:r>
        <w:rPr>
          <w:rFonts w:ascii="Times New Roman" w:eastAsia="Calibri" w:hAnsi="Times New Roman" w:cs="Times New Roman"/>
          <w:sz w:val="28"/>
          <w:szCs w:val="28"/>
        </w:rPr>
        <w:t>цом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, в том числе и по </w:t>
      </w:r>
      <w:r>
        <w:rPr>
          <w:rFonts w:ascii="Times New Roman" w:eastAsia="Calibri" w:hAnsi="Times New Roman" w:cs="Times New Roman"/>
          <w:sz w:val="28"/>
          <w:szCs w:val="28"/>
        </w:rPr>
        <w:t>стоимости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оказываемых юридических услуг, само по себе не </w:t>
      </w:r>
      <w:r w:rsidRPr="00D777E7">
        <w:rPr>
          <w:rFonts w:ascii="Times New Roman" w:eastAsia="Calibri" w:hAnsi="Times New Roman" w:cs="Times New Roman"/>
          <w:sz w:val="28"/>
          <w:szCs w:val="28"/>
        </w:rPr>
        <w:t>влечет безусловной обязанности ответчика компенсировать ист</w:t>
      </w:r>
      <w:r>
        <w:rPr>
          <w:rFonts w:ascii="Times New Roman" w:eastAsia="Calibri" w:hAnsi="Times New Roman" w:cs="Times New Roman"/>
          <w:sz w:val="28"/>
          <w:szCs w:val="28"/>
        </w:rPr>
        <w:t>цу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все понесенные расходы в объеме, определенном исключительно ист</w:t>
      </w:r>
      <w:r>
        <w:rPr>
          <w:rFonts w:ascii="Times New Roman" w:eastAsia="Calibri" w:hAnsi="Times New Roman" w:cs="Times New Roman"/>
          <w:sz w:val="28"/>
          <w:szCs w:val="28"/>
        </w:rPr>
        <w:t>цом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представителем, поскольку, согласно положениям </w:t>
      </w:r>
      <w:hyperlink r:id="rId21" w:history="1">
        <w:r w:rsidRPr="00190B8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ч.1 ст.100</w:t>
        </w:r>
      </w:hyperlink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ГПК РФ, стороне по письменному ходатайству суд присуждает с другой стороны расходы на оплату услуг представителя исключительно в разумных пределах.</w:t>
      </w:r>
    </w:p>
    <w:p w:rsidR="00604693" w:rsidRPr="002647D0" w:rsidP="00190B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Учитывая конкретные обстоятельства, категорию, сложность данного спора, характер и объем оказанной представителем помощи, мировой судья приходит к выводу о том, что заявленная сумма в размере </w:t>
      </w:r>
      <w:r w:rsidR="00190B82">
        <w:rPr>
          <w:rFonts w:ascii="Times New Roman" w:eastAsia="Calibri" w:hAnsi="Times New Roman" w:cs="Times New Roman"/>
          <w:sz w:val="28"/>
          <w:szCs w:val="28"/>
        </w:rPr>
        <w:t>10000 рублей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является явно чрезмерной и не отвечает критерию разумности, соразмерности, в связи с чем размер понесенных затрат подлежит возмещению в размере </w:t>
      </w:r>
      <w:r w:rsidR="00190B82">
        <w:rPr>
          <w:rFonts w:ascii="Times New Roman" w:eastAsia="Calibri" w:hAnsi="Times New Roman" w:cs="Times New Roman"/>
          <w:sz w:val="28"/>
          <w:szCs w:val="28"/>
        </w:rPr>
        <w:t>2000 рублей,</w:t>
      </w:r>
      <w:r w:rsidRPr="00D777E7">
        <w:rPr>
          <w:rFonts w:ascii="Times New Roman" w:eastAsia="Calibri" w:hAnsi="Times New Roman" w:cs="Times New Roman"/>
          <w:sz w:val="28"/>
          <w:szCs w:val="28"/>
        </w:rPr>
        <w:t xml:space="preserve"> в остальной части требований надлежит отказать.</w:t>
      </w:r>
    </w:p>
    <w:p w:rsidR="00CE1735" w:rsidRPr="00477EB2" w:rsidP="0015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с</w:t>
      </w:r>
      <w:r w:rsidRPr="002647D0" w:rsidR="002647D0">
        <w:rPr>
          <w:rFonts w:ascii="Times New Roman" w:eastAsia="Calibri" w:hAnsi="Times New Roman" w:cs="Times New Roman"/>
          <w:sz w:val="28"/>
          <w:szCs w:val="28"/>
        </w:rPr>
        <w:t xml:space="preserve"> ответчика подлежит взысканию в пользу истца </w:t>
      </w:r>
      <w:r w:rsidR="00365F11">
        <w:rPr>
          <w:rFonts w:ascii="Times New Roman" w:eastAsia="Calibri" w:hAnsi="Times New Roman" w:cs="Times New Roman"/>
          <w:sz w:val="28"/>
          <w:szCs w:val="28"/>
        </w:rPr>
        <w:t>500</w:t>
      </w:r>
      <w:r w:rsidR="007057E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647D0" w:rsidR="00705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7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647D0" w:rsidR="002647D0">
        <w:rPr>
          <w:rFonts w:ascii="Times New Roman" w:eastAsia="Calibri" w:hAnsi="Times New Roman" w:cs="Times New Roman"/>
          <w:sz w:val="28"/>
          <w:szCs w:val="28"/>
        </w:rPr>
        <w:t xml:space="preserve">возврат уплаченной государственной пошлины.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12, 56, 194-198 ГПК РФ, мировой судья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0B8E" w:rsidP="00DF0B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Козина А</w:t>
      </w:r>
      <w:r w:rsidR="000F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0F3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«</w:t>
      </w:r>
      <w:r w:rsidRPr="00604693"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Экспресс-Кредит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Pr="00604693" w:rsidR="006046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3A4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05.04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в размере </w:t>
      </w:r>
      <w:r w:rsidR="000F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4693"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2000 рублей в счет оплаты юридических услуг и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уплате государственной пошлины в размере </w:t>
      </w:r>
      <w:r w:rsidR="00604693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D777E7" w:rsidRPr="00DF0B8E" w:rsidP="00DF0B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требований отказать.</w:t>
      </w:r>
    </w:p>
    <w:p w:rsid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Республики Татарстан через мирового судью в течение месяца со дня его принятия.</w:t>
      </w:r>
    </w:p>
    <w:p w:rsidR="001A2550" w:rsidRP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вступило в законную силу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«______»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 20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61A72"/>
    <w:sectPr w:rsidSect="00383614">
      <w:headerReference w:type="even" r:id="rId22"/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 w:rsidP="00E74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7724" w:rsidP="00E74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3A45">
      <w:rPr>
        <w:noProof/>
      </w:rPr>
      <w:t>4</w:t>
    </w:r>
    <w:r>
      <w:rPr>
        <w:noProof/>
      </w:rPr>
      <w:fldChar w:fldCharType="end"/>
    </w:r>
  </w:p>
  <w:p w:rsidR="008F7724" w:rsidP="00E745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B2"/>
    <w:rsid w:val="00001171"/>
    <w:rsid w:val="00022C3B"/>
    <w:rsid w:val="00033D19"/>
    <w:rsid w:val="0004639A"/>
    <w:rsid w:val="0006600B"/>
    <w:rsid w:val="000D4215"/>
    <w:rsid w:val="000D7FDE"/>
    <w:rsid w:val="000F3A45"/>
    <w:rsid w:val="00117101"/>
    <w:rsid w:val="001173DF"/>
    <w:rsid w:val="00125E95"/>
    <w:rsid w:val="0013750E"/>
    <w:rsid w:val="00152CC2"/>
    <w:rsid w:val="00161A72"/>
    <w:rsid w:val="00186214"/>
    <w:rsid w:val="00190B82"/>
    <w:rsid w:val="001A2550"/>
    <w:rsid w:val="001B0080"/>
    <w:rsid w:val="001D0209"/>
    <w:rsid w:val="001D6933"/>
    <w:rsid w:val="0020293C"/>
    <w:rsid w:val="00232473"/>
    <w:rsid w:val="002605CE"/>
    <w:rsid w:val="002647D0"/>
    <w:rsid w:val="002A1ADF"/>
    <w:rsid w:val="002A471D"/>
    <w:rsid w:val="002B0186"/>
    <w:rsid w:val="00303859"/>
    <w:rsid w:val="0031036D"/>
    <w:rsid w:val="003211E2"/>
    <w:rsid w:val="00360A0C"/>
    <w:rsid w:val="00365F11"/>
    <w:rsid w:val="00383614"/>
    <w:rsid w:val="003837E4"/>
    <w:rsid w:val="003927AE"/>
    <w:rsid w:val="003B01E0"/>
    <w:rsid w:val="003B6674"/>
    <w:rsid w:val="003D3275"/>
    <w:rsid w:val="00456B36"/>
    <w:rsid w:val="00463478"/>
    <w:rsid w:val="00473166"/>
    <w:rsid w:val="00477EB2"/>
    <w:rsid w:val="00483E51"/>
    <w:rsid w:val="004A77AA"/>
    <w:rsid w:val="004C7108"/>
    <w:rsid w:val="004C7B4D"/>
    <w:rsid w:val="004D0F33"/>
    <w:rsid w:val="004D2112"/>
    <w:rsid w:val="004D6ED7"/>
    <w:rsid w:val="0050358F"/>
    <w:rsid w:val="00512F90"/>
    <w:rsid w:val="0055241B"/>
    <w:rsid w:val="00552540"/>
    <w:rsid w:val="00552F32"/>
    <w:rsid w:val="00577146"/>
    <w:rsid w:val="005E565C"/>
    <w:rsid w:val="005F2BB4"/>
    <w:rsid w:val="00604693"/>
    <w:rsid w:val="00625449"/>
    <w:rsid w:val="00626729"/>
    <w:rsid w:val="00631ECD"/>
    <w:rsid w:val="006D6530"/>
    <w:rsid w:val="006F2E4C"/>
    <w:rsid w:val="006F74B5"/>
    <w:rsid w:val="007057E5"/>
    <w:rsid w:val="00723ECF"/>
    <w:rsid w:val="00756391"/>
    <w:rsid w:val="007C28AE"/>
    <w:rsid w:val="007E0AE8"/>
    <w:rsid w:val="008358BB"/>
    <w:rsid w:val="008822C5"/>
    <w:rsid w:val="00892137"/>
    <w:rsid w:val="008C08A2"/>
    <w:rsid w:val="008F3D20"/>
    <w:rsid w:val="008F7724"/>
    <w:rsid w:val="00914877"/>
    <w:rsid w:val="0094685F"/>
    <w:rsid w:val="00956F7D"/>
    <w:rsid w:val="00957E96"/>
    <w:rsid w:val="00965279"/>
    <w:rsid w:val="00977BC3"/>
    <w:rsid w:val="009A08E6"/>
    <w:rsid w:val="009A1ED5"/>
    <w:rsid w:val="009D1192"/>
    <w:rsid w:val="00A94D6C"/>
    <w:rsid w:val="00AA3F73"/>
    <w:rsid w:val="00AD2DF8"/>
    <w:rsid w:val="00AE5831"/>
    <w:rsid w:val="00B16E41"/>
    <w:rsid w:val="00B2625C"/>
    <w:rsid w:val="00B5028F"/>
    <w:rsid w:val="00B77047"/>
    <w:rsid w:val="00B96E74"/>
    <w:rsid w:val="00BA0747"/>
    <w:rsid w:val="00BA427C"/>
    <w:rsid w:val="00C473DB"/>
    <w:rsid w:val="00C52986"/>
    <w:rsid w:val="00C97C60"/>
    <w:rsid w:val="00CD4020"/>
    <w:rsid w:val="00CD40FF"/>
    <w:rsid w:val="00CE1735"/>
    <w:rsid w:val="00CE7F76"/>
    <w:rsid w:val="00CF7DC9"/>
    <w:rsid w:val="00D23B61"/>
    <w:rsid w:val="00D777E7"/>
    <w:rsid w:val="00DA1B75"/>
    <w:rsid w:val="00DC6699"/>
    <w:rsid w:val="00DD4C82"/>
    <w:rsid w:val="00DE6EE8"/>
    <w:rsid w:val="00DF0B8E"/>
    <w:rsid w:val="00E37640"/>
    <w:rsid w:val="00E448FB"/>
    <w:rsid w:val="00E745FD"/>
    <w:rsid w:val="00EA0E72"/>
    <w:rsid w:val="00EA65AD"/>
    <w:rsid w:val="00EB1183"/>
    <w:rsid w:val="00EC5255"/>
    <w:rsid w:val="00EC74AC"/>
    <w:rsid w:val="00F279C0"/>
    <w:rsid w:val="00F30EA9"/>
    <w:rsid w:val="00F57D07"/>
    <w:rsid w:val="00F7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2AE03B-84B8-427C-9FBE-6C32489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7EB2"/>
  </w:style>
  <w:style w:type="character" w:styleId="PageNumber">
    <w:name w:val="page number"/>
    <w:uiPriority w:val="99"/>
    <w:rsid w:val="00477EB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D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6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398E61C58DD7BB5DAAC3538F65F307D591F685CA3CDAC693E445B92kD28L" TargetMode="External" /><Relationship Id="rId11" Type="http://schemas.openxmlformats.org/officeDocument/2006/relationships/hyperlink" Target="consultantplus://offline/ref=E866A7A5B6CBFAF4567229E050E8EC5AA1B26E491203ED3FB10189E6E16E6256260CEEF3DDC8N536L" TargetMode="External" /><Relationship Id="rId12" Type="http://schemas.openxmlformats.org/officeDocument/2006/relationships/hyperlink" Target="consultantplus://offline/ref=6FE939B0C9BCF41F9EED392421E9B2DB118A1DD7042122EE861ACCC9B6C52A2C1ECF22B4C1CBA1CApCd6I" TargetMode="External" /><Relationship Id="rId13" Type="http://schemas.openxmlformats.org/officeDocument/2006/relationships/hyperlink" Target="consultantplus://offline/ref=6FE939B0C9BCF41F9EED392421E9B2DB118A1DD5012122EE861ACCC9B6C52A2C1ECF22B4C1CBA7CCpCd2I" TargetMode="External" /><Relationship Id="rId14" Type="http://schemas.openxmlformats.org/officeDocument/2006/relationships/hyperlink" Target="consultantplus://offline/ref=6FE939B0C9BCF41F9EED392421E9B2DB118A1DD7042022EE861ACCC9B6C52A2C1ECF22B4C1CBA7CEpCd6I" TargetMode="External" /><Relationship Id="rId15" Type="http://schemas.openxmlformats.org/officeDocument/2006/relationships/hyperlink" Target="consultantplus://offline/ref=6FE939B0C9BCF41F9EED392421E9B2DB118A1DD5012122EE861ACCC9B6C52A2C1ECF22B4C1CBA7CCpCd3I" TargetMode="External" /><Relationship Id="rId16" Type="http://schemas.openxmlformats.org/officeDocument/2006/relationships/hyperlink" Target="consultantplus://offline/ref=6FE939B0C9BCF41F9EED392421E9B2DB118A1DD5012122EE861ACCC9B6C52A2C1ECF22B4C1CBA6CApCd7I" TargetMode="External" /><Relationship Id="rId17" Type="http://schemas.openxmlformats.org/officeDocument/2006/relationships/hyperlink" Target="consultantplus://offline/ref=6FE939B0C9BCF41F9EED392421E9B2DB118A1DD7042022EE861ACCC9B6C52A2C1ECF22B4C1CBA7CEpCd8I" TargetMode="External" /><Relationship Id="rId18" Type="http://schemas.openxmlformats.org/officeDocument/2006/relationships/hyperlink" Target="consultantplus://offline/ref=6FE939B0C9BCF41F9EED392421E9B2DB118A1DD7042022EE861ACCC9B6C52A2C1ECF22B4C1CBA4CCpCd1I" TargetMode="External" /><Relationship Id="rId19" Type="http://schemas.openxmlformats.org/officeDocument/2006/relationships/hyperlink" Target="consultantplus://offline/ref=6FE939B0C9BCF41F9EED392421E9B2DB118A1DD7042122EE861ACCC9B6C52A2C1ECF22B4C1CBA7CCpCd1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FE939B0C9BCF41F9EED392421E9B2DB118A1DD7042122EE861ACCC9B6C52A2C1ECF22B4C1CBA5C9pCd7I" TargetMode="External" /><Relationship Id="rId21" Type="http://schemas.openxmlformats.org/officeDocument/2006/relationships/hyperlink" Target="consultantplus://offline/ref=B55216631C1C315A37263E314890CEDCF450EAAB03CE71ED3E0845131909C69264A547AFDF0648F0S6cDJ" TargetMode="External" /><Relationship Id="rId22" Type="http://schemas.openxmlformats.org/officeDocument/2006/relationships/header" Target="header1.xml" /><Relationship Id="rId23" Type="http://schemas.openxmlformats.org/officeDocument/2006/relationships/header" Target="head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2F398E61C58DD7BB5DAAC3538F65F307D591D6C5CA1CDAC693E445B92D8F24A4669794C4C152C64kA2BL" TargetMode="External" /><Relationship Id="rId6" Type="http://schemas.openxmlformats.org/officeDocument/2006/relationships/hyperlink" Target="consultantplus://offline/ref=D2F398E61C58DD7BB5DAAC3538F65F307D591D6C5FA5CDAC693E445B92D8F24A4669794C4C152D63kA23L" TargetMode="External" /><Relationship Id="rId7" Type="http://schemas.openxmlformats.org/officeDocument/2006/relationships/hyperlink" Target="consultantplus://offline/ref=D2F398E61C58DD7BB5DAAC3538F65F307D591D6C5FA5CDAC693E445B92D8F24A4669794C4C152D64kA2DL" TargetMode="External" /><Relationship Id="rId8" Type="http://schemas.openxmlformats.org/officeDocument/2006/relationships/hyperlink" Target="consultantplus://offline/ref=D2F398E61C58DD7BB5DAAC3538F65F307D591D6C5FA5CDAC693E445B92D8F24A4669794C4C152D65kA2AL" TargetMode="External" /><Relationship Id="rId9" Type="http://schemas.openxmlformats.org/officeDocument/2006/relationships/hyperlink" Target="consultantplus://offline/ref=D2F398E61C58DD7BB5DAAC3538F65F307D591D6C5FA5CDAC693E445B92D8F24A4669794C4Ek12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