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D95" w:rsidRPr="00BD2D95" w:rsidP="00BD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95" w:rsidRPr="00BD2D95" w:rsidP="00BD2D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УИД 16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0082-01-2022-003395-66</w:t>
      </w:r>
    </w:p>
    <w:p w:rsidR="00BD2D95" w:rsidRPr="00BD2D95" w:rsidP="00BD2D9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Дело № 2-972/2022-1</w:t>
      </w:r>
    </w:p>
    <w:p w:rsidR="00BD2D95" w:rsidRPr="00BD2D95" w:rsidP="00BD2D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 Е Ш Е Н И Е</w:t>
      </w:r>
    </w:p>
    <w:p w:rsidR="00BD2D95" w:rsidRPr="00BD2D95" w:rsidP="00BD2D95">
      <w:pPr>
        <w:keepNext/>
        <w:keepLines/>
        <w:spacing w:before="40" w:after="0" w:line="240" w:lineRule="auto"/>
        <w:outlineLvl w:val="1"/>
        <w:rPr>
          <w:rFonts w:ascii="Times New Roman" w:hAnsi="Times New Roman" w:eastAsiaTheme="majorEastAsia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hAnsi="Times New Roman" w:eastAsiaTheme="majorEastAsia" w:cs="Times New Roman"/>
          <w:color w:val="000000" w:themeColor="text1"/>
          <w:sz w:val="28"/>
          <w:szCs w:val="28"/>
          <w:lang w:eastAsia="ru-RU"/>
        </w:rPr>
        <w:t>именем</w:t>
      </w:r>
      <w:r w:rsidRPr="00BD2D95">
        <w:rPr>
          <w:rFonts w:ascii="Times New Roman" w:hAnsi="Times New Roman" w:eastAsiaTheme="majorEastAsia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</w:p>
    <w:p w:rsidR="00BD2D95" w:rsidRPr="00BD2D95" w:rsidP="00BD2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июня 2022 года                                                                       г. Альметьевск</w:t>
      </w:r>
    </w:p>
    <w:p w:rsidR="00BD2D95" w:rsidRPr="00BD2D95" w:rsidP="00BD2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Мировой судья судебного участка №1 по Альметьевскому 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судебному  району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Татарстан Пещеров В.И., </w:t>
      </w:r>
    </w:p>
    <w:p w:rsidR="00BD2D95" w:rsidRPr="00BD2D95" w:rsidP="00BD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секретаре Мазитовой Д.Р., </w:t>
      </w:r>
    </w:p>
    <w:p w:rsidR="00BD2D95" w:rsidRPr="00BD2D95" w:rsidP="00BD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открытом судебном заседании гражданское дело по иску ООО «Микрокредитная компания Кангария» к Есенову Г</w:t>
      </w:r>
      <w:r w:rsidR="0034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="0034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 взыскании задолженности по договору займа,</w:t>
      </w:r>
    </w:p>
    <w:p w:rsidR="00BD2D95" w:rsidRPr="00BD2D95" w:rsidP="00BD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2D95" w:rsidRPr="00BD2D95" w:rsidP="00BD2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D2D95" w:rsidRPr="00BD2D95" w:rsidP="00BD2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«Микрокредитная компания Кангария» (истец) обратилось в суд с иском к Есенову Г.Э. (ответчик) о взыскании задолженности на сумму 17640 рублей по договору микрозайма №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с ООО «Микрокредитная компания универсального финансирования», за период с 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судебных расходов по уплате государственной пошлины на сумму 1096 руб. 95 коп. </w:t>
      </w:r>
    </w:p>
    <w:p w:rsidR="00BD2D95" w:rsidRPr="00BD2D95" w:rsidP="00BD2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Представитель ООО «Микрокредитная компания Кангария» на рассмотрение дела не явился, извещены, при подаче иска заявили о рассмотрении дела 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отсутствие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истца.</w:t>
      </w:r>
    </w:p>
    <w:p w:rsidR="00BD2D95" w:rsidRPr="00BD2D95" w:rsidP="00BD2D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Есенов Г.Э. на судебном заседании не присутствовал, извещен, обратился с заявлением о рассмотрении дела в его отсутствие, исковые требования не признал, указав, что договор займа не заключал, номер телефона и банковская карта ему не принадлежат, полагает, что договор займа заключен путем обмана иным лицом.</w:t>
      </w:r>
    </w:p>
    <w:p w:rsidR="00BD2D95" w:rsidRPr="00BD2D95" w:rsidP="00BD2D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BD2D95" w:rsidRPr="00BD2D95" w:rsidP="00BD2D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1 ст. 807 ГК РФ по договору займа одна сторона (займодавец) передаёт в собственность другой стороне (заёмщику) деньги или другие вещи, определённые родовыми признаками, а заёмщик обязуется возвратить займодавцу такую же сумму денег.</w:t>
      </w:r>
    </w:p>
    <w:p w:rsidR="00BD2D95" w:rsidRPr="00BD2D95" w:rsidP="00BD2D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BD2D95" w:rsidRPr="00BD2D95" w:rsidP="00BD2D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ст. 811 ГК РФ если договором займа предусмотрено возвращение займа по частям (в рассрочку), то при нарушении 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заемщиком срока, установленного для возврата очередной части займа, займодавец вправе потребовать досрочного возврата всей оставшейся суммы займа вместе с причитающимися процентами.</w:t>
      </w:r>
    </w:p>
    <w:p w:rsidR="00BD2D95" w:rsidRPr="00BD2D95" w:rsidP="00BD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Истец обосновывает свои исковые требования тем, что между ООО «Микрокредитная компания универсального финансирования» и ответчиком был заключен договор займа №</w:t>
      </w:r>
      <w:r w:rsidRPr="00344ABE" w:rsidR="0034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апреля 2019 года, </w:t>
      </w:r>
      <w:r w:rsidRPr="00BD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условиям которого ответчику предоставлены денежные средства в размере 5040 руб. на 16 дней или до 9 мая 2019 года, под 839,5% годовых. Ответчик обязался вернуть истцу с срок до 9 мая 2019 года сумму займа с процентами (5040 руб. основной долг + 1738,80 руб. проценты).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D95" w:rsidRPr="00BD2D95" w:rsidP="00BD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об уступке прав требования от 6 февраля 2020 года права по взысканию долга по договору займа перешли от ООО «Микрокредитная 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компания универсального финансирования» к истцу.</w:t>
      </w:r>
    </w:p>
    <w:p w:rsidR="00BD2D95" w:rsidRPr="00BD2D95" w:rsidP="00BD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hyperlink r:id="rId4" w:history="1">
        <w:r w:rsidRPr="00BD2D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 ст. 434</w:t>
        </w:r>
      </w:hyperlink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Гражданского кодекса РФ (в редакции до вступления в силу Федерального </w:t>
      </w:r>
      <w:hyperlink r:id="rId5" w:history="1">
        <w:r w:rsidRPr="00BD2D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18.03.2019 года N 34-ФЗ)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</w:p>
    <w:p w:rsidR="00BD2D95" w:rsidRPr="00BD2D95" w:rsidP="00BD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Электронным документом, передаваемым по каналам связи, признается информация, подготовленная, отправленная, полученная или хранимая с помощью электронных, магнитных, оптических либо аналогичных средств, включая обмен информацией в электронной форме и электронную почту.</w:t>
      </w:r>
    </w:p>
    <w:p w:rsidR="00BD2D95" w:rsidRPr="00BD2D95" w:rsidP="00BD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утверждает истец указанный договор займа заключен в электронной форме на основании заявки (оферты) ответчика о предоставлении займа с использованием аналога собственноручной подписи, то есть дистанционным способом при использовании сети Интернет и обмена сообщениям на номер 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путем перечисления денежных средств на банковскую карту 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2D95" w:rsidRPr="00BD2D95" w:rsidP="00BD2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положений </w:t>
      </w:r>
      <w:hyperlink r:id="rId6" w:anchor="/document/10164072/entry/20807" w:history="1">
        <w:r w:rsidRPr="00BD2D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ст. 807</w:t>
        </w:r>
      </w:hyperlink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6" w:anchor="/document/10164072/entry/812" w:history="1">
        <w:r w:rsidRPr="00BD2D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812</w:t>
        </w:r>
      </w:hyperlink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ГК РФ основным и необходимым условием заключения договора займа является передача заимодавцем заемщику суммы займа. </w:t>
      </w:r>
    </w:p>
    <w:p w:rsidR="00BD2D95" w:rsidRPr="00BD2D95" w:rsidP="00BD2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 </w:t>
      </w:r>
      <w:hyperlink r:id="rId6" w:anchor="/document/10164072/entry/80712" w:history="1">
        <w:r w:rsidRPr="00BD2D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абзаца 2 п. 1 ст. 807</w:t>
        </w:r>
      </w:hyperlink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ГК РФ договор займа считается заключенным с момента передачи денег или других вещей, а, следовательно, без подтверждения факта передачи договор займа не может считаться заключенным. </w:t>
      </w:r>
    </w:p>
    <w:p w:rsidR="00BD2D95" w:rsidRPr="00BD2D95" w:rsidP="00BD2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этого наличие действительного заемного обязательства должно быть подтверждено допустимыми (письменными) доказательствами.</w:t>
      </w:r>
    </w:p>
    <w:p w:rsidR="00BD2D95" w:rsidRPr="00BD2D95" w:rsidP="00BD2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для возникновения обязательства по договору займа требуется фактическая передача кредитором должнику денежных средств именно на условиях договора займа, то в случае спора, на кредиторе лежит обязанность доказать факт передачи должнику предмета займа и то, что между 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сторонами возникли отношения по договору займа, а на заемщике - факт надлежащего исполнения обязательств по возврату займа.</w:t>
      </w:r>
    </w:p>
    <w:p w:rsidR="00BD2D95" w:rsidRPr="00BD2D95" w:rsidP="00BD2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возражений со стороны ответчика относительно природы возникшего обязательства следует исходить из того, что займодавец заинтересован в обеспечении надлежащих доказательств, подтверждающих заключение договора займа, и в случае возникновения спора на нем лежит риск недоказанности соответствующего факта.</w:t>
      </w:r>
    </w:p>
    <w:p w:rsidR="00BD2D95" w:rsidRPr="00BD2D95" w:rsidP="00BD2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Ответчик, оспаривая факт заключения договора займа, указывает, что </w:t>
      </w:r>
      <w:r w:rsidRPr="00BD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телефона 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которого был заключен договор займа путем обмена сообщениями, а также банковская карта 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которую истец перевел сумму займа, ответчику не принадлежат.</w:t>
      </w:r>
    </w:p>
    <w:p w:rsidR="00BD2D95" w:rsidRPr="00BD2D95" w:rsidP="00BD2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письменного ответа ПАО Сбербанк на запрос суда о принадлежности банковской карты следует, что держателем банковской карты 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BD2D95" w:rsidRPr="00BD2D95" w:rsidP="00BD2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получателем суммы займа является не ответчик Есенов Г.Э., а иное лицо.   </w:t>
      </w:r>
    </w:p>
    <w:p w:rsidR="00BD2D95" w:rsidRPr="00BD2D95" w:rsidP="00BD2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Учитывая, что истцом не представлены допустимые и достоверные доказательства передачи ответчику денежных средств по договору займа и наличие у последнего задолженности перед истцом, суд приходит к выводу об отказе в удовлетворении требований о взыскании долга по договору займа.</w:t>
      </w:r>
    </w:p>
    <w:p w:rsidR="00BD2D95" w:rsidRPr="00BD2D95" w:rsidP="00BD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отказом в удовлетворении иска требования истца о возмещении судебных расходов на оплату государственной пошлины также не подлежат удовлетворению на основании ст. 98 ГПК РФ.</w:t>
      </w:r>
    </w:p>
    <w:p w:rsidR="00BD2D95" w:rsidRPr="00BD2D95" w:rsidP="00BD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ст.ст.194-198 ГПК РФ, </w:t>
      </w:r>
    </w:p>
    <w:p w:rsidR="00344ABE" w:rsidP="00BD2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D95" w:rsidRPr="00BD2D95" w:rsidP="00BD2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Л:</w:t>
      </w:r>
    </w:p>
    <w:p w:rsidR="00BD2D95" w:rsidRPr="00BD2D95" w:rsidP="00BD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удовлетворении исковых требований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«Микрокредитная компания Кангария» к Есенову Г</w:t>
      </w:r>
      <w:r w:rsidRPr="00344ABE" w:rsidR="0034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344ABE" w:rsidR="0034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договору займа - отказать</w:t>
      </w: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2D95" w:rsidRPr="00BD2D95" w:rsidP="00BD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Альметьевский городской суд Республики Татарстан через мирового судью в течение месяца со дня вынесения в окончательной форме.</w:t>
      </w:r>
    </w:p>
    <w:p w:rsidR="00BD2D95" w:rsidRPr="00BD2D95" w:rsidP="00BD2D9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D95" w:rsidRPr="00BD2D95" w:rsidP="00BD2D9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судья:   </w:t>
      </w:r>
      <w:r w:rsidRPr="00BD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В.И. Пещеров</w:t>
      </w:r>
    </w:p>
    <w:p w:rsidR="00BD2D95" w:rsidRPr="00BD2D95" w:rsidP="00BD2D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95" w:rsidRPr="00BD2D95" w:rsidP="00BD2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95" w:rsidRPr="00BD2D95" w:rsidP="00BD2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FF"/>
    <w:rsid w:val="00344ABE"/>
    <w:rsid w:val="00921D5A"/>
    <w:rsid w:val="009F45FF"/>
    <w:rsid w:val="00BD2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AC1E1C-3DD3-477C-872A-7E864B2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B469E6EAF3640185F494BEB6FB64B9E18C9D46A604A2DF0743C5C0A36BF86526A46744801058A3290E06648AC3518C4E9466FB1C0B672t2F1H" TargetMode="External" /><Relationship Id="rId5" Type="http://schemas.openxmlformats.org/officeDocument/2006/relationships/hyperlink" Target="consultantplus://offline/ref=9B469E6EAF3640185F494BEB6FB64B9E18CFD46A6B472DF0743C5C0A36BF865278462C44000D92339CAA350CFBt3F8H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