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0776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З.А. Мубаракшиной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движения» к </w:t>
      </w:r>
      <w:r>
        <w:rPr>
          <w:rFonts w:ascii="Times New Roman" w:eastAsia="Times New Roman" w:hAnsi="Times New Roman" w:cs="Times New Roman"/>
          <w:sz w:val="28"/>
          <w:szCs w:val="28"/>
        </w:rPr>
        <w:t>Данилу Фатхулловичу Гайнуллину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перемещение и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Данила Фатхулловича Гайнуллина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«Безопасность дорожного движения»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задолженности за перемещение и хранение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 рублей в счет возмещения расходов на оплату государственной пошлины.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получения им копии этого решения.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лицами, участвующими в деле, также в апелляционном порядке в течение месяца по истечении срока для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 подпись</w:t>
      </w: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