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МФК «Займер» к </w:t>
      </w:r>
      <w:r>
        <w:rPr>
          <w:rFonts w:ascii="Times New Roman" w:eastAsia="Times New Roman" w:hAnsi="Times New Roman" w:cs="Times New Roman"/>
          <w:sz w:val="28"/>
          <w:szCs w:val="28"/>
        </w:rPr>
        <w:t>Рамилю Рафхатовичу Сибгатуллину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Рамиля Рафхатовича Сибгатуллина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МФК «Займер» </w:t>
      </w:r>
      <w:r>
        <w:rPr>
          <w:rFonts w:ascii="Times New Roman" w:eastAsia="Times New Roman" w:hAnsi="Times New Roman" w:cs="Times New Roman"/>
          <w:sz w:val="28"/>
          <w:szCs w:val="28"/>
        </w:rPr>
        <w:t>28100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долга, </w:t>
      </w:r>
      <w:r>
        <w:rPr>
          <w:rFonts w:ascii="Times New Roman" w:eastAsia="Times New Roman" w:hAnsi="Times New Roman" w:cs="Times New Roman"/>
          <w:sz w:val="28"/>
          <w:szCs w:val="28"/>
        </w:rPr>
        <w:t>1043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в Тюлячинский районный суд Республики Татарстан в течение месяца, через мирового судью судебного участка № 1 по Тюлячинскому судебному району Республики Татарстан. 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