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2C8D" w:rsidP="0097089C">
      <w:pPr>
        <w:ind w:right="424"/>
        <w:jc w:val="right"/>
        <w:rPr>
          <w:sz w:val="27"/>
          <w:szCs w:val="27"/>
        </w:rPr>
      </w:pPr>
      <w:r>
        <w:rPr>
          <w:sz w:val="27"/>
          <w:szCs w:val="27"/>
        </w:rPr>
        <w:t xml:space="preserve">                                                                </w:t>
      </w:r>
    </w:p>
    <w:p w:rsidR="00C82C8D" w:rsidRPr="004A7D14" w:rsidP="0097089C">
      <w:pPr>
        <w:ind w:right="424"/>
        <w:jc w:val="right"/>
        <w:rPr>
          <w:sz w:val="27"/>
          <w:szCs w:val="27"/>
        </w:rPr>
      </w:pPr>
      <w:r>
        <w:rPr>
          <w:sz w:val="27"/>
          <w:szCs w:val="27"/>
        </w:rPr>
        <w:t xml:space="preserve"> </w:t>
      </w:r>
      <w:r w:rsidRPr="004A7D14">
        <w:rPr>
          <w:sz w:val="27"/>
          <w:szCs w:val="27"/>
        </w:rPr>
        <w:t xml:space="preserve">   </w:t>
      </w:r>
    </w:p>
    <w:p w:rsidR="00C82C8D" w:rsidRPr="004A7D14" w:rsidP="007C03BA">
      <w:pPr>
        <w:ind w:right="424"/>
        <w:rPr>
          <w:sz w:val="27"/>
          <w:szCs w:val="27"/>
        </w:rPr>
      </w:pPr>
      <w:r w:rsidRPr="004A7D14">
        <w:rPr>
          <w:sz w:val="27"/>
          <w:szCs w:val="27"/>
        </w:rPr>
        <w:t>Дело № 2-</w:t>
      </w:r>
      <w:r>
        <w:rPr>
          <w:sz w:val="27"/>
          <w:szCs w:val="27"/>
        </w:rPr>
        <w:t>16\22</w:t>
      </w:r>
      <w:r w:rsidRPr="004A7D14">
        <w:rPr>
          <w:sz w:val="27"/>
          <w:szCs w:val="27"/>
        </w:rPr>
        <w:t xml:space="preserve"> г.                                                                                  </w:t>
      </w:r>
    </w:p>
    <w:p w:rsidR="00C82C8D" w:rsidRPr="004A7D14" w:rsidP="007C03BA">
      <w:pPr>
        <w:ind w:right="424"/>
        <w:jc w:val="center"/>
        <w:rPr>
          <w:sz w:val="27"/>
          <w:szCs w:val="27"/>
        </w:rPr>
      </w:pPr>
      <w:r>
        <w:rPr>
          <w:sz w:val="27"/>
          <w:szCs w:val="27"/>
        </w:rPr>
        <w:t xml:space="preserve"> </w:t>
      </w:r>
      <w:r w:rsidRPr="004A7D14">
        <w:rPr>
          <w:sz w:val="27"/>
          <w:szCs w:val="27"/>
        </w:rPr>
        <w:t>РЕШЕНИЕ</w:t>
      </w:r>
    </w:p>
    <w:p w:rsidR="00C82C8D" w:rsidRPr="004A7D14" w:rsidP="007C03BA">
      <w:pPr>
        <w:ind w:right="424"/>
        <w:jc w:val="center"/>
        <w:rPr>
          <w:bCs/>
          <w:sz w:val="27"/>
          <w:szCs w:val="27"/>
        </w:rPr>
      </w:pPr>
      <w:r w:rsidRPr="004A7D14">
        <w:rPr>
          <w:bCs/>
          <w:sz w:val="27"/>
          <w:szCs w:val="27"/>
        </w:rPr>
        <w:t>ИМЕНЕМ РОССИЙСКОЙ ФЕДЕРАЦИИ</w:t>
      </w:r>
    </w:p>
    <w:p w:rsidR="00C82C8D" w:rsidRPr="004A7D14" w:rsidP="007C03BA">
      <w:pPr>
        <w:ind w:right="424"/>
        <w:jc w:val="center"/>
        <w:rPr>
          <w:sz w:val="27"/>
          <w:szCs w:val="27"/>
        </w:rPr>
      </w:pPr>
    </w:p>
    <w:p w:rsidR="00C82C8D" w:rsidRPr="004A7D14" w:rsidP="007C03BA">
      <w:pPr>
        <w:ind w:right="424"/>
        <w:rPr>
          <w:sz w:val="27"/>
          <w:szCs w:val="27"/>
        </w:rPr>
      </w:pPr>
      <w:r w:rsidRPr="004A7D14">
        <w:rPr>
          <w:sz w:val="27"/>
          <w:szCs w:val="27"/>
        </w:rPr>
        <w:t xml:space="preserve">  </w:t>
      </w:r>
      <w:r>
        <w:rPr>
          <w:sz w:val="27"/>
          <w:szCs w:val="27"/>
        </w:rPr>
        <w:t xml:space="preserve">     24.02.2022</w:t>
      </w:r>
      <w:r w:rsidRPr="004A7D14">
        <w:rPr>
          <w:sz w:val="27"/>
          <w:szCs w:val="27"/>
        </w:rPr>
        <w:t xml:space="preserve"> года</w:t>
      </w:r>
      <w:r w:rsidRPr="004A7D14">
        <w:rPr>
          <w:sz w:val="27"/>
          <w:szCs w:val="27"/>
        </w:rPr>
        <w:tab/>
      </w:r>
      <w:r w:rsidRPr="004A7D14">
        <w:rPr>
          <w:sz w:val="27"/>
          <w:szCs w:val="27"/>
        </w:rPr>
        <w:tab/>
      </w:r>
      <w:r w:rsidRPr="004A7D14">
        <w:rPr>
          <w:sz w:val="27"/>
          <w:szCs w:val="27"/>
        </w:rPr>
        <w:tab/>
        <w:t xml:space="preserve">                                        с. Муслюмово </w:t>
      </w:r>
    </w:p>
    <w:p w:rsidR="00C82C8D" w:rsidRPr="004A7D14" w:rsidP="007C03BA">
      <w:pPr>
        <w:ind w:right="424"/>
        <w:rPr>
          <w:sz w:val="27"/>
          <w:szCs w:val="27"/>
        </w:rPr>
      </w:pPr>
    </w:p>
    <w:p w:rsidR="00C82C8D" w:rsidRPr="004A7D14" w:rsidP="007C03BA">
      <w:pPr>
        <w:ind w:right="424"/>
        <w:jc w:val="both"/>
        <w:rPr>
          <w:sz w:val="27"/>
          <w:szCs w:val="27"/>
        </w:rPr>
      </w:pPr>
      <w:r w:rsidRPr="004A7D14">
        <w:rPr>
          <w:sz w:val="27"/>
          <w:szCs w:val="27"/>
        </w:rPr>
        <w:t xml:space="preserve">      Мировой судья судебного участка № 1 по Муслюмовскому судебному району Республики Татарстан Б.И. Ханнанова, при  секретаре судебного заседания  Р.К.Мингазовой, </w:t>
      </w:r>
    </w:p>
    <w:p w:rsidR="00C82C8D" w:rsidP="007C03BA">
      <w:pPr>
        <w:ind w:right="424"/>
        <w:jc w:val="both"/>
        <w:rPr>
          <w:sz w:val="27"/>
          <w:szCs w:val="27"/>
        </w:rPr>
      </w:pPr>
      <w:r w:rsidRPr="004A7D14">
        <w:rPr>
          <w:sz w:val="27"/>
          <w:szCs w:val="27"/>
        </w:rPr>
        <w:t xml:space="preserve">     </w:t>
      </w:r>
      <w:r>
        <w:rPr>
          <w:sz w:val="27"/>
          <w:szCs w:val="27"/>
        </w:rPr>
        <w:t xml:space="preserve"> </w:t>
      </w:r>
      <w:r w:rsidRPr="004A7D14">
        <w:rPr>
          <w:sz w:val="27"/>
          <w:szCs w:val="27"/>
        </w:rPr>
        <w:t>рассмотрев в открытом судебном заседании гражданское дело по исковому заявлению</w:t>
      </w:r>
      <w:r>
        <w:rPr>
          <w:sz w:val="27"/>
          <w:szCs w:val="27"/>
        </w:rPr>
        <w:t xml:space="preserve"> ООО «Гринта» к Низамову Ф. М. о взыскании задолженности, </w:t>
      </w:r>
    </w:p>
    <w:p w:rsidR="00C82C8D" w:rsidP="007D395B">
      <w:pPr>
        <w:ind w:right="424"/>
        <w:jc w:val="center"/>
        <w:rPr>
          <w:sz w:val="27"/>
          <w:szCs w:val="27"/>
        </w:rPr>
      </w:pPr>
      <w:r>
        <w:rPr>
          <w:sz w:val="27"/>
          <w:szCs w:val="27"/>
        </w:rPr>
        <w:t>установил:</w:t>
      </w:r>
    </w:p>
    <w:p w:rsidR="00C82C8D" w:rsidRPr="001A36C4" w:rsidP="00CE3840">
      <w:pPr>
        <w:ind w:right="424"/>
        <w:jc w:val="both"/>
        <w:rPr>
          <w:sz w:val="27"/>
          <w:szCs w:val="27"/>
        </w:rPr>
      </w:pPr>
      <w:r>
        <w:rPr>
          <w:sz w:val="27"/>
          <w:szCs w:val="27"/>
        </w:rPr>
        <w:t xml:space="preserve">      Представитель ООО «Гринта» обратился к мировому судье с исковым </w:t>
      </w:r>
      <w:r w:rsidRPr="001A36C4">
        <w:rPr>
          <w:sz w:val="27"/>
          <w:szCs w:val="27"/>
        </w:rPr>
        <w:t xml:space="preserve">заявлением к </w:t>
      </w:r>
      <w:r>
        <w:rPr>
          <w:sz w:val="27"/>
          <w:szCs w:val="27"/>
        </w:rPr>
        <w:t xml:space="preserve"> Низамову Ф.М.</w:t>
      </w:r>
      <w:r w:rsidRPr="001A36C4">
        <w:rPr>
          <w:sz w:val="27"/>
          <w:szCs w:val="27"/>
        </w:rPr>
        <w:t xml:space="preserve"> о взыскании задолженности за оказание услуг по обращению с твердыми коммунальными отходами (ТКО).</w:t>
      </w:r>
    </w:p>
    <w:p w:rsidR="00C82C8D" w:rsidP="00CE3840">
      <w:pPr>
        <w:ind w:right="424"/>
        <w:jc w:val="both"/>
        <w:rPr>
          <w:sz w:val="27"/>
          <w:szCs w:val="27"/>
        </w:rPr>
      </w:pPr>
      <w:r w:rsidRPr="001A36C4">
        <w:rPr>
          <w:sz w:val="27"/>
          <w:szCs w:val="27"/>
        </w:rPr>
        <w:t xml:space="preserve">    </w:t>
      </w:r>
      <w:r>
        <w:rPr>
          <w:sz w:val="27"/>
          <w:szCs w:val="27"/>
        </w:rPr>
        <w:t xml:space="preserve"> </w:t>
      </w:r>
      <w:r w:rsidRPr="001A36C4">
        <w:rPr>
          <w:sz w:val="27"/>
          <w:szCs w:val="27"/>
        </w:rPr>
        <w:t xml:space="preserve"> Представитель истца иск поддержал. На основании части </w:t>
      </w:r>
      <w:r>
        <w:rPr>
          <w:sz w:val="27"/>
          <w:szCs w:val="27"/>
        </w:rPr>
        <w:t>5</w:t>
      </w:r>
      <w:r w:rsidRPr="001A36C4">
        <w:rPr>
          <w:sz w:val="27"/>
          <w:szCs w:val="27"/>
        </w:rPr>
        <w:t xml:space="preserve"> статьи 167</w:t>
      </w:r>
      <w:r>
        <w:rPr>
          <w:sz w:val="27"/>
          <w:szCs w:val="27"/>
        </w:rPr>
        <w:t xml:space="preserve"> </w:t>
      </w:r>
      <w:r w:rsidRPr="001A36C4">
        <w:rPr>
          <w:sz w:val="27"/>
          <w:szCs w:val="27"/>
        </w:rPr>
        <w:t>Гражданского процессуального кодекса Росс</w:t>
      </w:r>
      <w:r>
        <w:rPr>
          <w:sz w:val="27"/>
          <w:szCs w:val="27"/>
        </w:rPr>
        <w:t>ийской Федерации (далее ГПК РФ) дело рассмотрено в отсутствие представителя истца.</w:t>
      </w:r>
    </w:p>
    <w:p w:rsidR="00C82C8D" w:rsidP="00CE3840">
      <w:pPr>
        <w:ind w:right="424"/>
        <w:jc w:val="both"/>
        <w:rPr>
          <w:sz w:val="27"/>
          <w:szCs w:val="27"/>
        </w:rPr>
      </w:pPr>
      <w:r>
        <w:rPr>
          <w:sz w:val="27"/>
          <w:szCs w:val="27"/>
        </w:rPr>
        <w:t xml:space="preserve">     Ответчик иск не признал и пояснил, что по делу не установлено правовое основание возникновения правоотношений с ООО «Гринта»,  открытия лицевого счета, нарушено право на охрану персональных данных. Он услугами регионального оператора не пользуется, мусор утилизирует посредством сожжения, корма домашним животным, изготовления компоста либо сдачи на вторичную переработку. Просил в иске отказать.</w:t>
      </w:r>
    </w:p>
    <w:p w:rsidR="00C82C8D" w:rsidRPr="001A36C4" w:rsidP="00CE3840">
      <w:pPr>
        <w:ind w:right="424"/>
        <w:jc w:val="both"/>
        <w:rPr>
          <w:sz w:val="27"/>
          <w:szCs w:val="27"/>
        </w:rPr>
      </w:pPr>
      <w:r>
        <w:rPr>
          <w:sz w:val="27"/>
          <w:szCs w:val="27"/>
        </w:rPr>
        <w:t xml:space="preserve">      Мировой судья, выслушал доводы ответчика, исследовал доказательства по делу, считает исковые требования обоснованными, которые следует удовлетворить по следующим основаниям:</w:t>
      </w:r>
    </w:p>
    <w:p w:rsidR="00C82C8D" w:rsidP="00EF2719">
      <w:pPr>
        <w:ind w:right="424" w:firstLine="426"/>
        <w:jc w:val="both"/>
        <w:rPr>
          <w:sz w:val="27"/>
          <w:szCs w:val="27"/>
        </w:rPr>
      </w:pPr>
      <w:r>
        <w:rPr>
          <w:sz w:val="27"/>
          <w:szCs w:val="27"/>
        </w:rPr>
        <w:t>Из  выписки из ЕГРН жилой дом на ул.Кооперативная, 86 с.Муслюмово принадлежит  Низамову Ф. М.</w:t>
      </w:r>
    </w:p>
    <w:p w:rsidR="00C82C8D" w:rsidRPr="009C13F5" w:rsidP="00EF2719">
      <w:pPr>
        <w:ind w:right="424" w:firstLine="426"/>
        <w:jc w:val="both"/>
        <w:rPr>
          <w:sz w:val="27"/>
          <w:szCs w:val="27"/>
        </w:rPr>
      </w:pPr>
      <w:r w:rsidRPr="001A36C4">
        <w:rPr>
          <w:sz w:val="27"/>
          <w:szCs w:val="27"/>
        </w:rPr>
        <w:t>В соответствии с положениями статьи 24.6 Федеральн</w:t>
      </w:r>
      <w:r>
        <w:rPr>
          <w:sz w:val="27"/>
          <w:szCs w:val="27"/>
        </w:rPr>
        <w:t>ого</w:t>
      </w:r>
      <w:r w:rsidRPr="001A36C4">
        <w:rPr>
          <w:sz w:val="27"/>
          <w:szCs w:val="27"/>
        </w:rPr>
        <w:t xml:space="preserve"> з</w:t>
      </w:r>
      <w:r>
        <w:rPr>
          <w:sz w:val="27"/>
          <w:szCs w:val="27"/>
        </w:rPr>
        <w:t>акона                    от 24.06.1998 г. N89-ФЗ «</w:t>
      </w:r>
      <w:r w:rsidRPr="001A36C4">
        <w:rPr>
          <w:sz w:val="27"/>
          <w:szCs w:val="27"/>
        </w:rPr>
        <w:t>Об отходах производства и потребления</w:t>
      </w:r>
      <w:r>
        <w:rPr>
          <w:sz w:val="27"/>
          <w:szCs w:val="27"/>
        </w:rPr>
        <w:t>»                    (далее- Закон №89-ФЗ) с</w:t>
      </w:r>
      <w:r w:rsidRPr="001A36C4">
        <w:rPr>
          <w:sz w:val="27"/>
          <w:szCs w:val="27"/>
        </w:rPr>
        <w:t xml:space="preserve">бор, транспортирование, обработка, утилизация, обезвреживание, захоронение твердых коммунальных отходов на территории </w:t>
      </w:r>
      <w:r>
        <w:rPr>
          <w:sz w:val="27"/>
          <w:szCs w:val="27"/>
        </w:rPr>
        <w:t xml:space="preserve">Восточной зоны Республики </w:t>
      </w:r>
      <w:r w:rsidRPr="00906FAD">
        <w:rPr>
          <w:sz w:val="27"/>
          <w:szCs w:val="27"/>
        </w:rPr>
        <w:t xml:space="preserve">Татарстан </w:t>
      </w:r>
      <w:r w:rsidRPr="009C13F5">
        <w:rPr>
          <w:sz w:val="27"/>
          <w:szCs w:val="27"/>
        </w:rPr>
        <w:t xml:space="preserve">обеспечиваются региональным оператором по обращению с ТКО ООО «Гринта». Соглашение </w:t>
      </w:r>
      <w:r>
        <w:rPr>
          <w:sz w:val="27"/>
          <w:szCs w:val="27"/>
        </w:rPr>
        <w:t xml:space="preserve">об этом с </w:t>
      </w:r>
      <w:r w:rsidRPr="009C13F5">
        <w:rPr>
          <w:sz w:val="27"/>
          <w:szCs w:val="27"/>
        </w:rPr>
        <w:t>Министерством строительства, архитектуры и жилищно-коммунального хозяйства Р</w:t>
      </w:r>
      <w:r>
        <w:rPr>
          <w:sz w:val="27"/>
          <w:szCs w:val="27"/>
        </w:rPr>
        <w:t>Т</w:t>
      </w:r>
      <w:r w:rsidRPr="009C13F5">
        <w:rPr>
          <w:sz w:val="27"/>
          <w:szCs w:val="27"/>
        </w:rPr>
        <w:t xml:space="preserve"> заключено 22.08.2018</w:t>
      </w:r>
      <w:r>
        <w:rPr>
          <w:sz w:val="27"/>
          <w:szCs w:val="27"/>
        </w:rPr>
        <w:t xml:space="preserve"> г.</w:t>
      </w:r>
      <w:r w:rsidRPr="009C13F5">
        <w:rPr>
          <w:sz w:val="27"/>
          <w:szCs w:val="27"/>
        </w:rPr>
        <w:t xml:space="preserve"> N</w:t>
      </w:r>
      <w:r>
        <w:rPr>
          <w:sz w:val="27"/>
          <w:szCs w:val="27"/>
        </w:rPr>
        <w:t xml:space="preserve"> </w:t>
      </w:r>
      <w:r w:rsidRPr="009C13F5">
        <w:rPr>
          <w:sz w:val="27"/>
          <w:szCs w:val="27"/>
        </w:rPr>
        <w:t>57</w:t>
      </w:r>
      <w:r>
        <w:rPr>
          <w:sz w:val="27"/>
          <w:szCs w:val="27"/>
        </w:rPr>
        <w:t>.</w:t>
      </w:r>
    </w:p>
    <w:p w:rsidR="00C82C8D" w:rsidP="00E85083">
      <w:pPr>
        <w:ind w:right="424" w:firstLine="426"/>
        <w:jc w:val="both"/>
        <w:rPr>
          <w:sz w:val="27"/>
          <w:szCs w:val="27"/>
        </w:rPr>
      </w:pPr>
      <w:r w:rsidRPr="009C13F5">
        <w:rPr>
          <w:sz w:val="27"/>
          <w:szCs w:val="27"/>
        </w:rPr>
        <w:t>На основании пункта 4.1 Правил осуществления деятельност</w:t>
      </w:r>
      <w:r>
        <w:rPr>
          <w:sz w:val="27"/>
          <w:szCs w:val="27"/>
        </w:rPr>
        <w:t xml:space="preserve">и региональных операторов по обращения с твердыми коммунальными отходами на территории Республики Татарстан, </w:t>
      </w:r>
      <w:r w:rsidRPr="00E85083">
        <w:t>(утв. постановлением  Кабинета Министров РТ от 20.12.2018 г. №1188),</w:t>
      </w:r>
      <w:r>
        <w:rPr>
          <w:sz w:val="27"/>
          <w:szCs w:val="27"/>
        </w:rPr>
        <w:t xml:space="preserve"> </w:t>
      </w:r>
      <w:r w:rsidRPr="00906FAD">
        <w:rPr>
          <w:sz w:val="27"/>
          <w:szCs w:val="27"/>
        </w:rPr>
        <w:t xml:space="preserve"> </w:t>
      </w:r>
      <w:r>
        <w:rPr>
          <w:sz w:val="27"/>
          <w:szCs w:val="27"/>
        </w:rPr>
        <w:t>в</w:t>
      </w:r>
      <w:r w:rsidRPr="00906FAD">
        <w:rPr>
          <w:sz w:val="27"/>
          <w:szCs w:val="27"/>
        </w:rPr>
        <w:t xml:space="preserve">заимодействие </w:t>
      </w:r>
      <w:r w:rsidRPr="00CB450A">
        <w:rPr>
          <w:sz w:val="27"/>
          <w:szCs w:val="27"/>
        </w:rPr>
        <w:t>региональ</w:t>
      </w:r>
      <w:r>
        <w:rPr>
          <w:sz w:val="27"/>
          <w:szCs w:val="27"/>
        </w:rPr>
        <w:t xml:space="preserve">ного оператора                  с собственниками  твердых </w:t>
      </w:r>
      <w:r w:rsidRPr="00CB450A">
        <w:rPr>
          <w:sz w:val="27"/>
          <w:szCs w:val="27"/>
        </w:rPr>
        <w:t>коммунальных отходов осуществляется на основании публичных договоров на оказ</w:t>
      </w:r>
      <w:r>
        <w:rPr>
          <w:sz w:val="27"/>
          <w:szCs w:val="27"/>
        </w:rPr>
        <w:t xml:space="preserve">ание услуг по обращению с </w:t>
      </w:r>
      <w:r w:rsidRPr="00CB450A">
        <w:rPr>
          <w:sz w:val="27"/>
          <w:szCs w:val="27"/>
        </w:rPr>
        <w:t>твердыми коммунальными отходами.</w:t>
      </w:r>
    </w:p>
    <w:p w:rsidR="00C82C8D" w:rsidP="00B762C8">
      <w:pPr>
        <w:ind w:right="424" w:firstLine="426"/>
        <w:jc w:val="both"/>
        <w:rPr>
          <w:sz w:val="27"/>
          <w:szCs w:val="27"/>
        </w:rPr>
      </w:pPr>
      <w:r>
        <w:rPr>
          <w:sz w:val="27"/>
          <w:szCs w:val="27"/>
        </w:rPr>
        <w:t>В соответствии с пунктом 2 статьи 24.6 Закона №89-ФЗ н</w:t>
      </w:r>
      <w:r w:rsidRPr="00CB450A">
        <w:rPr>
          <w:sz w:val="27"/>
          <w:szCs w:val="27"/>
        </w:rPr>
        <w:t xml:space="preserve">акопление, сбор, транспортирование, обработка, утилизация, обезвреживание, захоронение твердых коммунальных отходов осуществляются в соответствии с </w:t>
      </w:r>
      <w:r>
        <w:rPr>
          <w:sz w:val="27"/>
          <w:szCs w:val="27"/>
        </w:rPr>
        <w:t>правилами</w:t>
      </w:r>
      <w:r w:rsidRPr="00CB450A">
        <w:rPr>
          <w:sz w:val="27"/>
          <w:szCs w:val="27"/>
        </w:rPr>
        <w:t xml:space="preserve"> обращения с твердыми коммунальными отходами, утвержденными Правительством Российской Федерации (далее - </w:t>
      </w:r>
      <w:r>
        <w:rPr>
          <w:sz w:val="27"/>
          <w:szCs w:val="27"/>
        </w:rPr>
        <w:t>Правила</w:t>
      </w:r>
      <w:r w:rsidRPr="00CB450A">
        <w:rPr>
          <w:sz w:val="27"/>
          <w:szCs w:val="27"/>
        </w:rPr>
        <w:t xml:space="preserve"> обращения с твердыми коммунальными отходами</w:t>
      </w:r>
      <w:r>
        <w:rPr>
          <w:sz w:val="27"/>
          <w:szCs w:val="27"/>
        </w:rPr>
        <w:t xml:space="preserve">). </w:t>
      </w:r>
    </w:p>
    <w:p w:rsidR="00C82C8D" w:rsidP="00B762C8">
      <w:pPr>
        <w:ind w:right="424" w:firstLine="426"/>
        <w:jc w:val="both"/>
        <w:rPr>
          <w:sz w:val="27"/>
          <w:szCs w:val="27"/>
        </w:rPr>
      </w:pPr>
      <w:r w:rsidRPr="00422D47">
        <w:rPr>
          <w:sz w:val="27"/>
          <w:szCs w:val="27"/>
        </w:rPr>
        <w:t>Согласно пункт</w:t>
      </w:r>
      <w:r>
        <w:rPr>
          <w:sz w:val="27"/>
          <w:szCs w:val="27"/>
        </w:rPr>
        <w:t>у</w:t>
      </w:r>
      <w:r w:rsidRPr="00422D47">
        <w:rPr>
          <w:sz w:val="27"/>
          <w:szCs w:val="27"/>
        </w:rPr>
        <w:t xml:space="preserve"> 4</w:t>
      </w:r>
      <w:r w:rsidRPr="00927BA9">
        <w:rPr>
          <w:sz w:val="27"/>
          <w:szCs w:val="27"/>
        </w:rPr>
        <w:t xml:space="preserve"> </w:t>
      </w:r>
      <w:r w:rsidRPr="00422D47">
        <w:rPr>
          <w:sz w:val="27"/>
          <w:szCs w:val="27"/>
        </w:rPr>
        <w:t xml:space="preserve">раздела </w:t>
      </w:r>
      <w:r>
        <w:rPr>
          <w:sz w:val="27"/>
          <w:szCs w:val="27"/>
          <w:lang w:val="en-US"/>
        </w:rPr>
        <w:t>I</w:t>
      </w:r>
      <w:r>
        <w:rPr>
          <w:sz w:val="27"/>
          <w:szCs w:val="27"/>
        </w:rPr>
        <w:t xml:space="preserve">, пункту 8.1 раздела </w:t>
      </w:r>
      <w:r w:rsidRPr="00422D47">
        <w:rPr>
          <w:sz w:val="27"/>
          <w:szCs w:val="27"/>
        </w:rPr>
        <w:t xml:space="preserve"> </w:t>
      </w:r>
      <w:r>
        <w:rPr>
          <w:sz w:val="27"/>
          <w:szCs w:val="27"/>
          <w:lang w:val="en-US"/>
        </w:rPr>
        <w:t>I</w:t>
      </w:r>
      <w:r>
        <w:rPr>
          <w:sz w:val="27"/>
          <w:szCs w:val="27"/>
        </w:rPr>
        <w:t>.</w:t>
      </w:r>
      <w:r w:rsidRPr="00927BA9">
        <w:rPr>
          <w:sz w:val="27"/>
          <w:szCs w:val="27"/>
        </w:rPr>
        <w:t>1</w:t>
      </w:r>
      <w:r>
        <w:rPr>
          <w:sz w:val="27"/>
          <w:szCs w:val="27"/>
        </w:rPr>
        <w:t>.</w:t>
      </w:r>
      <w:r w:rsidRPr="00422D47">
        <w:rPr>
          <w:sz w:val="27"/>
          <w:szCs w:val="27"/>
        </w:rPr>
        <w:t xml:space="preserve"> Правил обращения с твердыми коммунальными отходами </w:t>
      </w:r>
      <w:r w:rsidRPr="00BE63C9">
        <w:t xml:space="preserve">(утв. постановлением Правительства РФ от 12 ноября </w:t>
      </w:r>
      <w:smartTag w:uri="urn:schemas-microsoft-com:office:smarttags" w:element="metricconverter">
        <w:smartTagPr>
          <w:attr w:name="ProductID" w:val="2016 г"/>
        </w:smartTagPr>
        <w:r w:rsidRPr="00BE63C9">
          <w:t>2016 г</w:t>
        </w:r>
      </w:smartTag>
      <w:r w:rsidRPr="00BE63C9">
        <w:t xml:space="preserve">. N 1156) </w:t>
      </w:r>
      <w:r w:rsidRPr="00422D47">
        <w:rPr>
          <w:sz w:val="27"/>
          <w:szCs w:val="27"/>
        </w:rPr>
        <w:t>обращение с ТКО обеспечивается на основании договоров регионального оператора, заключаемы</w:t>
      </w:r>
      <w:r>
        <w:rPr>
          <w:sz w:val="27"/>
          <w:szCs w:val="27"/>
        </w:rPr>
        <w:t>х</w:t>
      </w:r>
      <w:r w:rsidRPr="00422D47">
        <w:rPr>
          <w:sz w:val="27"/>
          <w:szCs w:val="27"/>
        </w:rPr>
        <w:t xml:space="preserve"> с потребителями.</w:t>
      </w:r>
    </w:p>
    <w:p w:rsidR="00C82C8D" w:rsidRPr="00422D47" w:rsidP="002710E1">
      <w:pPr>
        <w:ind w:right="424" w:firstLine="426"/>
        <w:jc w:val="both"/>
        <w:rPr>
          <w:sz w:val="27"/>
          <w:szCs w:val="27"/>
        </w:rPr>
      </w:pPr>
      <w:r w:rsidRPr="00927BA9">
        <w:rPr>
          <w:sz w:val="27"/>
          <w:szCs w:val="27"/>
        </w:rPr>
        <w:t>Основанием для заключения договора является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C82C8D" w:rsidP="00E85083">
      <w:pPr>
        <w:ind w:right="424" w:firstLine="426"/>
        <w:jc w:val="both"/>
        <w:rPr>
          <w:sz w:val="27"/>
          <w:szCs w:val="27"/>
        </w:rPr>
      </w:pPr>
      <w:r>
        <w:rPr>
          <w:sz w:val="27"/>
          <w:szCs w:val="27"/>
        </w:rPr>
        <w:t xml:space="preserve"> 28.12.2018 года региональный оператор разместил  в газете «Ватаным Татарстан» публичную оферту «О заключении договора на оказание услуг по обращению с твердыми коммунальными отходами», содержащую существенные условия договора и форму типового договора на оказание указанной услуги. Кроме этого, публичная оферта размещена на официальном сайте общества в сети «Интернет».</w:t>
      </w:r>
    </w:p>
    <w:p w:rsidR="00C82C8D" w:rsidP="00E85083">
      <w:pPr>
        <w:ind w:right="424" w:firstLine="426"/>
        <w:jc w:val="both"/>
        <w:rPr>
          <w:sz w:val="27"/>
          <w:szCs w:val="27"/>
        </w:rPr>
      </w:pPr>
      <w:r>
        <w:rPr>
          <w:sz w:val="27"/>
          <w:szCs w:val="27"/>
        </w:rPr>
        <w:t xml:space="preserve">Действия ООО «Гринта» соответствуют положениям пункта 8.17 </w:t>
      </w:r>
      <w:r w:rsidRPr="001D71D0">
        <w:rPr>
          <w:sz w:val="27"/>
          <w:szCs w:val="27"/>
        </w:rPr>
        <w:t xml:space="preserve"> </w:t>
      </w:r>
      <w:r>
        <w:rPr>
          <w:sz w:val="27"/>
          <w:szCs w:val="27"/>
        </w:rPr>
        <w:t xml:space="preserve">раздела </w:t>
      </w:r>
      <w:r w:rsidRPr="00422D47">
        <w:rPr>
          <w:sz w:val="27"/>
          <w:szCs w:val="27"/>
        </w:rPr>
        <w:t xml:space="preserve"> </w:t>
      </w:r>
      <w:r>
        <w:rPr>
          <w:sz w:val="27"/>
          <w:szCs w:val="27"/>
          <w:lang w:val="en-US"/>
        </w:rPr>
        <w:t>I</w:t>
      </w:r>
      <w:r>
        <w:rPr>
          <w:sz w:val="27"/>
          <w:szCs w:val="27"/>
        </w:rPr>
        <w:t>.</w:t>
      </w:r>
      <w:r w:rsidRPr="00927BA9">
        <w:rPr>
          <w:sz w:val="27"/>
          <w:szCs w:val="27"/>
        </w:rPr>
        <w:t>1</w:t>
      </w:r>
      <w:r>
        <w:rPr>
          <w:sz w:val="27"/>
          <w:szCs w:val="27"/>
        </w:rPr>
        <w:t>.</w:t>
      </w:r>
      <w:r w:rsidRPr="00422D47">
        <w:rPr>
          <w:sz w:val="27"/>
          <w:szCs w:val="27"/>
        </w:rPr>
        <w:t xml:space="preserve"> Правил обращения с </w:t>
      </w:r>
      <w:r>
        <w:rPr>
          <w:sz w:val="27"/>
          <w:szCs w:val="27"/>
        </w:rPr>
        <w:t>ТКО.</w:t>
      </w:r>
    </w:p>
    <w:p w:rsidR="00C82C8D" w:rsidP="000839DE">
      <w:pPr>
        <w:pStyle w:val="NoSpacing"/>
        <w:ind w:right="424"/>
        <w:jc w:val="both"/>
        <w:rPr>
          <w:sz w:val="27"/>
          <w:szCs w:val="27"/>
        </w:rPr>
      </w:pPr>
      <w:r>
        <w:rPr>
          <w:sz w:val="27"/>
          <w:szCs w:val="27"/>
        </w:rPr>
        <w:t xml:space="preserve">      В силу пункта 4 статьи 24.7 Федерального закона № 89, с</w:t>
      </w:r>
      <w:r w:rsidRPr="005B4A33">
        <w:rPr>
          <w:sz w:val="27"/>
          <w:szCs w:val="27"/>
        </w:rPr>
        <w:t>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C82C8D" w:rsidRPr="000839DE" w:rsidP="000839DE">
      <w:pPr>
        <w:pStyle w:val="NoSpacing"/>
        <w:ind w:right="424" w:firstLine="426"/>
        <w:jc w:val="both"/>
        <w:rPr>
          <w:sz w:val="27"/>
          <w:szCs w:val="27"/>
        </w:rPr>
      </w:pPr>
      <w:r>
        <w:rPr>
          <w:sz w:val="27"/>
          <w:szCs w:val="27"/>
        </w:rPr>
        <w:t xml:space="preserve">Это требование также вытекает из положения пункта 8 статьи 23 Федерального закона от 29.12.2014 г. №458-ФЗ,  </w:t>
      </w:r>
      <w:r w:rsidRPr="000839DE">
        <w:rPr>
          <w:sz w:val="27"/>
          <w:szCs w:val="27"/>
        </w:rPr>
        <w:t>обязанность по внесению платы за комм</w:t>
      </w:r>
      <w:r>
        <w:rPr>
          <w:sz w:val="27"/>
          <w:szCs w:val="27"/>
        </w:rPr>
        <w:t xml:space="preserve">унальную услугу по обращению с ТКО </w:t>
      </w:r>
      <w:r w:rsidRPr="000839DE">
        <w:rPr>
          <w:sz w:val="27"/>
          <w:szCs w:val="27"/>
        </w:rPr>
        <w:t xml:space="preserve">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w:t>
      </w:r>
      <w:r>
        <w:rPr>
          <w:sz w:val="27"/>
          <w:szCs w:val="27"/>
        </w:rPr>
        <w:t>ТКО</w:t>
      </w:r>
      <w:r w:rsidRPr="000839DE">
        <w:rPr>
          <w:sz w:val="27"/>
          <w:szCs w:val="27"/>
        </w:rPr>
        <w:t xml:space="preserve">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w:t>
      </w:r>
      <w:r>
        <w:rPr>
          <w:sz w:val="27"/>
          <w:szCs w:val="27"/>
        </w:rPr>
        <w:t xml:space="preserve">, а также части 5 статьи 30 Жилищного кодекса Российской Федерации (далее-ЖК РФ), </w:t>
      </w:r>
      <w:r w:rsidRPr="000839DE">
        <w:rPr>
          <w:sz w:val="27"/>
          <w:szCs w:val="27"/>
        </w:rPr>
        <w:t xml:space="preserve">собственник жилого дома или части жилого дома обязан обеспечивать обращение с ТКО путем заключения договора с региональным оператором по обращению с твердыми коммунальными отходами. </w:t>
      </w:r>
    </w:p>
    <w:p w:rsidR="00C82C8D" w:rsidRPr="005B4A33" w:rsidP="00B16CAF">
      <w:pPr>
        <w:pStyle w:val="NoSpacing"/>
        <w:ind w:right="424" w:firstLine="426"/>
        <w:jc w:val="both"/>
        <w:rPr>
          <w:sz w:val="27"/>
          <w:szCs w:val="27"/>
        </w:rPr>
      </w:pPr>
      <w:r w:rsidRPr="000839DE">
        <w:rPr>
          <w:sz w:val="27"/>
          <w:szCs w:val="27"/>
        </w:rPr>
        <w:t>Исходя из вышеизложенного, понуждение к заключению договора,</w:t>
      </w:r>
      <w:r>
        <w:rPr>
          <w:sz w:val="27"/>
          <w:szCs w:val="27"/>
        </w:rPr>
        <w:t xml:space="preserve"> которое предусмотрено законом, не противоречит положениям абзаца 2 пункта 1 статьи 421 ГК РФ, не требует совершения конклюдентных действий.</w:t>
      </w:r>
    </w:p>
    <w:p w:rsidR="00C82C8D" w:rsidP="00E85083">
      <w:pPr>
        <w:ind w:right="424" w:firstLine="426"/>
        <w:jc w:val="both"/>
        <w:rPr>
          <w:sz w:val="27"/>
          <w:szCs w:val="27"/>
        </w:rPr>
      </w:pPr>
      <w:r>
        <w:rPr>
          <w:sz w:val="27"/>
          <w:szCs w:val="27"/>
        </w:rPr>
        <w:t>Ответчик в порядке, установленном пунктами 8.5-8.17 Правил обращения с ТКО, в ООО «Гринта» не обратился, не заявил об имеющихся разногласиях либо предложением об изменении условий договора. Этот вывод также подтвержден  бездействием ответчика после получения счета к оплате по договору. В судебном заседании ответчик пояснил, что после получения квитанции к оплате не стал обращаться к представителю истца с претензиями либо заявлением об отказе от услуги по обращению с ТКО.</w:t>
      </w:r>
    </w:p>
    <w:p w:rsidR="00C82C8D" w:rsidP="00E85083">
      <w:pPr>
        <w:ind w:right="424" w:firstLine="426"/>
        <w:jc w:val="both"/>
        <w:rPr>
          <w:sz w:val="27"/>
          <w:szCs w:val="27"/>
        </w:rPr>
      </w:pPr>
      <w:r>
        <w:rPr>
          <w:sz w:val="27"/>
          <w:szCs w:val="27"/>
        </w:rPr>
        <w:t>На основании абзаца 4 пункта 8.17 Правил обращения с ТКО, в</w:t>
      </w:r>
      <w:r w:rsidRPr="00EB1E3D">
        <w:rPr>
          <w:sz w:val="27"/>
          <w:szCs w:val="27"/>
        </w:rPr>
        <w:t xml:space="preserve"> случае если потребитель не направил региональному оператору заявку потребителя и документы в соответствии с </w:t>
      </w:r>
      <w:hyperlink r:id="rId4" w:anchor="/document/71540160/entry/1085" w:history="1">
        <w:r w:rsidRPr="00EB1E3D">
          <w:rPr>
            <w:rStyle w:val="Hyperlink"/>
            <w:sz w:val="27"/>
            <w:szCs w:val="27"/>
            <w:u w:val="none"/>
          </w:rPr>
          <w:t>пунктами 8.5 - 8.7</w:t>
        </w:r>
      </w:hyperlink>
      <w:r w:rsidRPr="00EB1E3D">
        <w:rPr>
          <w:sz w:val="27"/>
          <w:szCs w:val="27"/>
        </w:rP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w:t>
      </w:r>
      <w:r>
        <w:rPr>
          <w:sz w:val="27"/>
          <w:szCs w:val="27"/>
        </w:rPr>
        <w:t>онно-телекоммуникационной сети «Интернет»</w:t>
      </w:r>
      <w:r w:rsidRPr="00EB1E3D">
        <w:rPr>
          <w:sz w:val="27"/>
          <w:szCs w:val="27"/>
        </w:rPr>
        <w:t xml:space="preserve">. </w:t>
      </w:r>
    </w:p>
    <w:p w:rsidR="00C82C8D" w:rsidRPr="00397B44" w:rsidP="00CB3473">
      <w:pPr>
        <w:pStyle w:val="NoSpacing"/>
        <w:tabs>
          <w:tab w:val="left" w:pos="426"/>
        </w:tabs>
        <w:ind w:right="424"/>
        <w:jc w:val="both"/>
        <w:rPr>
          <w:sz w:val="27"/>
          <w:szCs w:val="27"/>
        </w:rPr>
      </w:pPr>
      <w:r>
        <w:rPr>
          <w:sz w:val="27"/>
          <w:szCs w:val="27"/>
        </w:rPr>
        <w:t xml:space="preserve">      </w:t>
      </w:r>
      <w:r w:rsidRPr="00397B44">
        <w:rPr>
          <w:sz w:val="27"/>
          <w:szCs w:val="27"/>
        </w:rPr>
        <w:t xml:space="preserve">Положение вышеизложенного соответствует пунктам 1 и 2 статьи 438 ГК РФ, </w:t>
      </w:r>
      <w:r>
        <w:rPr>
          <w:sz w:val="27"/>
          <w:szCs w:val="27"/>
        </w:rPr>
        <w:t>исходя из смысла которых</w:t>
      </w:r>
      <w:r w:rsidRPr="00397B44">
        <w:rPr>
          <w:sz w:val="27"/>
          <w:szCs w:val="27"/>
        </w:rPr>
        <w:t xml:space="preserve">  молчание</w:t>
      </w:r>
      <w:r>
        <w:rPr>
          <w:sz w:val="27"/>
          <w:szCs w:val="27"/>
        </w:rPr>
        <w:t>,</w:t>
      </w:r>
      <w:r w:rsidRPr="00397B44">
        <w:rPr>
          <w:sz w:val="27"/>
          <w:szCs w:val="27"/>
        </w:rPr>
        <w:t xml:space="preserve"> в рассматриваемом случае</w:t>
      </w:r>
      <w:r>
        <w:rPr>
          <w:sz w:val="27"/>
          <w:szCs w:val="27"/>
        </w:rPr>
        <w:t>,</w:t>
      </w:r>
      <w:r w:rsidRPr="00397B44">
        <w:rPr>
          <w:sz w:val="27"/>
          <w:szCs w:val="27"/>
        </w:rPr>
        <w:t xml:space="preserve">  признается акцептом о принятии оферты, так как это вытекает из закона.</w:t>
      </w:r>
    </w:p>
    <w:p w:rsidR="00C82C8D" w:rsidP="007B2335">
      <w:pPr>
        <w:pStyle w:val="NoSpacing"/>
        <w:ind w:right="424" w:firstLine="426"/>
        <w:jc w:val="both"/>
        <w:rPr>
          <w:sz w:val="27"/>
          <w:szCs w:val="27"/>
        </w:rPr>
      </w:pPr>
      <w:r w:rsidRPr="00397B44">
        <w:rPr>
          <w:sz w:val="27"/>
          <w:szCs w:val="27"/>
        </w:rPr>
        <w:t>Таким образом,  в судебном заседании установлено, что, несмотря на бездействие (молчание) ответчик</w:t>
      </w:r>
      <w:r>
        <w:rPr>
          <w:sz w:val="27"/>
          <w:szCs w:val="27"/>
        </w:rPr>
        <w:t>а</w:t>
      </w:r>
      <w:r w:rsidRPr="00397B44">
        <w:rPr>
          <w:sz w:val="27"/>
          <w:szCs w:val="27"/>
        </w:rPr>
        <w:t xml:space="preserve">, договор с ООО «Гринта» считается заключенным на условиях типового договора. </w:t>
      </w:r>
    </w:p>
    <w:p w:rsidR="00C82C8D" w:rsidP="007B2335">
      <w:pPr>
        <w:pStyle w:val="NoSpacing"/>
        <w:ind w:right="424" w:firstLine="426"/>
        <w:jc w:val="both"/>
        <w:rPr>
          <w:sz w:val="27"/>
          <w:szCs w:val="27"/>
        </w:rPr>
      </w:pPr>
      <w:r>
        <w:rPr>
          <w:sz w:val="27"/>
          <w:szCs w:val="27"/>
        </w:rPr>
        <w:t>На основании части 1 статьи 157 ЖК РФ р</w:t>
      </w:r>
      <w:r w:rsidRPr="007B2335">
        <w:rPr>
          <w:sz w:val="27"/>
          <w:szCs w:val="27"/>
        </w:rPr>
        <w:t xml:space="preserve">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4" w:anchor="/document/12147362/entry/0" w:history="1">
        <w:r w:rsidRPr="007B2335">
          <w:rPr>
            <w:rStyle w:val="Hyperlink"/>
            <w:sz w:val="27"/>
            <w:szCs w:val="27"/>
            <w:u w:val="none"/>
          </w:rPr>
          <w:t>нормативов</w:t>
        </w:r>
      </w:hyperlink>
      <w:r w:rsidRPr="007B2335">
        <w:rPr>
          <w:sz w:val="27"/>
          <w:szCs w:val="27"/>
        </w:rPr>
        <w:t xml:space="preserve"> потребления коммунальных услуг (в том числе </w:t>
      </w:r>
      <w:hyperlink r:id="rId4" w:anchor="/document/71368740/entry/1000" w:history="1">
        <w:r w:rsidRPr="007B2335">
          <w:rPr>
            <w:rStyle w:val="Hyperlink"/>
            <w:sz w:val="27"/>
            <w:szCs w:val="27"/>
            <w:u w:val="none"/>
          </w:rPr>
          <w:t>нормативов</w:t>
        </w:r>
      </w:hyperlink>
      <w:r w:rsidRPr="007B2335">
        <w:rPr>
          <w:sz w:val="27"/>
          <w:szCs w:val="27"/>
        </w:rPr>
        <w:t xml:space="preserve"> накопления твердых коммунальных отходов), утверждаемых органами государственной власти субъектов Российской Федерации в </w:t>
      </w:r>
      <w:hyperlink r:id="rId4" w:anchor="/multilink/12138291/paragraph/26976549/number/2" w:history="1">
        <w:r w:rsidRPr="007B2335">
          <w:rPr>
            <w:rStyle w:val="Hyperlink"/>
            <w:sz w:val="27"/>
            <w:szCs w:val="27"/>
            <w:u w:val="none"/>
          </w:rPr>
          <w:t>порядке</w:t>
        </w:r>
      </w:hyperlink>
      <w:r w:rsidRPr="007B2335">
        <w:rPr>
          <w:sz w:val="27"/>
          <w:szCs w:val="27"/>
        </w:rPr>
        <w:t xml:space="preserve">, установленном Правительством Российской Федерации. </w:t>
      </w:r>
    </w:p>
    <w:p w:rsidR="00C82C8D" w:rsidP="00771ED6">
      <w:pPr>
        <w:pStyle w:val="NoSpacing"/>
        <w:ind w:right="424" w:firstLine="426"/>
        <w:jc w:val="both"/>
        <w:rPr>
          <w:sz w:val="27"/>
          <w:szCs w:val="27"/>
        </w:rPr>
      </w:pPr>
      <w:r>
        <w:rPr>
          <w:sz w:val="27"/>
          <w:szCs w:val="27"/>
        </w:rPr>
        <w:t>Нормативы накопления твердых коммунальных отходов от объектов жилищного фонда Республики Татарстан, утверждены постановлением Кабинета Министров Республики Татарстан от 12.12.2016 г. №922.</w:t>
      </w:r>
    </w:p>
    <w:p w:rsidR="00C82C8D" w:rsidP="00746549">
      <w:pPr>
        <w:pStyle w:val="NoSpacing"/>
        <w:ind w:right="424" w:firstLine="426"/>
        <w:jc w:val="both"/>
        <w:rPr>
          <w:sz w:val="27"/>
          <w:szCs w:val="27"/>
        </w:rPr>
      </w:pPr>
      <w:r>
        <w:rPr>
          <w:sz w:val="27"/>
          <w:szCs w:val="27"/>
        </w:rPr>
        <w:t xml:space="preserve">Предельные единые тарифы на услугу регионального оператора по обращению с ТКО ООО «Гринта» по Восточной зоне деятельности на территории Республики Татарстан на 2020-2022 годы утверждены постановлением Государственного комитета  по тарифам РТ от 19.12.2019 г. №11-54\тко </w:t>
      </w:r>
      <w:r w:rsidRPr="00A04F51">
        <w:t>(на 2019 год постановлением указанного комитета от 19.12.2018 г. №10-189\кс)</w:t>
      </w:r>
      <w:r>
        <w:rPr>
          <w:sz w:val="27"/>
          <w:szCs w:val="27"/>
        </w:rPr>
        <w:t>.</w:t>
      </w:r>
    </w:p>
    <w:p w:rsidR="00C82C8D" w:rsidRPr="00E21AE8" w:rsidP="00771ED6">
      <w:pPr>
        <w:ind w:right="424"/>
        <w:jc w:val="both"/>
        <w:rPr>
          <w:sz w:val="27"/>
          <w:szCs w:val="27"/>
        </w:rPr>
      </w:pPr>
      <w:r>
        <w:rPr>
          <w:sz w:val="27"/>
          <w:szCs w:val="27"/>
        </w:rPr>
        <w:t xml:space="preserve">       Согласно пункту </w:t>
      </w:r>
      <w:r w:rsidRPr="00E21AE8">
        <w:rPr>
          <w:sz w:val="27"/>
          <w:szCs w:val="27"/>
        </w:rPr>
        <w:t>148</w:t>
      </w:r>
      <w:r w:rsidRPr="00E21AE8">
        <w:rPr>
          <w:sz w:val="27"/>
          <w:szCs w:val="27"/>
          <w:vertAlign w:val="superscript"/>
        </w:rPr>
        <w:t> 34</w:t>
      </w:r>
      <w:r>
        <w:rPr>
          <w:sz w:val="27"/>
          <w:szCs w:val="27"/>
          <w:vertAlign w:val="superscript"/>
        </w:rPr>
        <w:t xml:space="preserve"> </w:t>
      </w:r>
      <w:r w:rsidRPr="00E21AE8">
        <w:rPr>
          <w:sz w:val="27"/>
          <w:szCs w:val="27"/>
        </w:rPr>
        <w:t xml:space="preserve">Правил предоставления коммунальных услуг собственникам и пользователям помещений в многоквартирных </w:t>
      </w:r>
      <w:r w:rsidRPr="00E21AE8">
        <w:rPr>
          <w:rStyle w:val="Emphasis"/>
          <w:i w:val="0"/>
          <w:sz w:val="27"/>
          <w:szCs w:val="27"/>
        </w:rPr>
        <w:t>домах</w:t>
      </w:r>
      <w:r w:rsidRPr="00E21AE8">
        <w:rPr>
          <w:sz w:val="27"/>
          <w:szCs w:val="27"/>
        </w:rPr>
        <w:t xml:space="preserve"> и жилых </w:t>
      </w:r>
      <w:r w:rsidRPr="00E21AE8">
        <w:rPr>
          <w:rStyle w:val="Emphasis"/>
          <w:i w:val="0"/>
          <w:sz w:val="27"/>
          <w:szCs w:val="27"/>
        </w:rPr>
        <w:t>домов</w:t>
      </w:r>
      <w:r>
        <w:rPr>
          <w:rStyle w:val="Emphasis"/>
          <w:i w:val="0"/>
          <w:sz w:val="27"/>
          <w:szCs w:val="27"/>
        </w:rPr>
        <w:t xml:space="preserve"> </w:t>
      </w:r>
      <w:r w:rsidRPr="00FF2638">
        <w:rPr>
          <w:rStyle w:val="Emphasis"/>
          <w:i w:val="0"/>
        </w:rPr>
        <w:t>(утв.</w:t>
      </w:r>
      <w:r w:rsidRPr="00FF2638">
        <w:t xml:space="preserve"> </w:t>
      </w:r>
      <w:hyperlink r:id="rId4" w:anchor="/document/12186043/entry/0" w:history="1">
        <w:r w:rsidRPr="00FF2638">
          <w:rPr>
            <w:rStyle w:val="Hyperlink"/>
            <w:u w:val="none"/>
          </w:rPr>
          <w:t>постановлением</w:t>
        </w:r>
      </w:hyperlink>
      <w:r w:rsidRPr="00FF2638">
        <w:t xml:space="preserve"> Правительства РФ от 6 мая 2011 г. N 354), </w:t>
      </w:r>
      <w:r>
        <w:t xml:space="preserve"> </w:t>
      </w:r>
      <w:r w:rsidRPr="001E773C">
        <w:rPr>
          <w:sz w:val="27"/>
          <w:szCs w:val="27"/>
        </w:rPr>
        <w:t>р</w:t>
      </w:r>
      <w:r w:rsidRPr="00E21AE8">
        <w:rPr>
          <w:sz w:val="27"/>
          <w:szCs w:val="27"/>
        </w:rPr>
        <w:t xml:space="preserve">азмер платы за коммунальную услугу по обращению с </w:t>
      </w:r>
      <w:r>
        <w:rPr>
          <w:sz w:val="27"/>
          <w:szCs w:val="27"/>
        </w:rPr>
        <w:t>ТКО</w:t>
      </w:r>
      <w:r w:rsidRPr="00E21AE8">
        <w:rPr>
          <w:sz w:val="27"/>
          <w:szCs w:val="27"/>
        </w:rPr>
        <w:t xml:space="preserve"> рассчитывается исходя из числа постоянно проживающих и временно проживающих потребителей в жилом помещении.</w:t>
      </w:r>
    </w:p>
    <w:p w:rsidR="00C82C8D" w:rsidP="00771ED6">
      <w:pPr>
        <w:ind w:right="424"/>
        <w:jc w:val="both"/>
        <w:rPr>
          <w:sz w:val="27"/>
          <w:szCs w:val="27"/>
        </w:rPr>
      </w:pPr>
      <w:r>
        <w:rPr>
          <w:sz w:val="27"/>
          <w:szCs w:val="27"/>
        </w:rPr>
        <w:t xml:space="preserve">       </w:t>
      </w:r>
      <w:r w:rsidRPr="00E21AE8">
        <w:rPr>
          <w:sz w:val="27"/>
          <w:szCs w:val="27"/>
        </w:rPr>
        <w:t>Потребитель считается временно проживающим в жилом помещении, если он фактически проживает в этом жилом помещении более 5 дней подряд.</w:t>
      </w:r>
    </w:p>
    <w:p w:rsidR="00C82C8D" w:rsidP="00771ED6">
      <w:pPr>
        <w:ind w:right="424"/>
        <w:jc w:val="both"/>
        <w:rPr>
          <w:sz w:val="27"/>
          <w:szCs w:val="27"/>
        </w:rPr>
      </w:pPr>
      <w:r>
        <w:rPr>
          <w:sz w:val="27"/>
          <w:szCs w:val="27"/>
        </w:rPr>
        <w:t xml:space="preserve">       Количество потребителей услуги определено на основании выписки из домовой книги, согласно которой совместно с ответчиком проживают супруга и дети: Хакимова А.М., Низамова Л.Ф., Низамов М.Ф., Низамова Ф.Ф., Низамова Х.Ф., Низамова З.Ф., Низамова К.Ф.,  зарегистрированные до 01.01.2019 года. </w:t>
      </w:r>
    </w:p>
    <w:p w:rsidR="00C82C8D" w:rsidP="00771ED6">
      <w:pPr>
        <w:ind w:right="424"/>
        <w:jc w:val="both"/>
        <w:rPr>
          <w:sz w:val="27"/>
          <w:szCs w:val="27"/>
        </w:rPr>
      </w:pPr>
      <w:r>
        <w:rPr>
          <w:sz w:val="27"/>
          <w:szCs w:val="27"/>
        </w:rPr>
        <w:t xml:space="preserve">      На основании статьи 31 ЖК РФ  перечисленные граждане являются членами семьи собственника жилого помещения, которые на основании пункта 5 части 2 статьи 153 ЖК РФ обязаны оплачивать коммунальные услуги.</w:t>
      </w:r>
    </w:p>
    <w:p w:rsidR="00C82C8D" w:rsidRPr="00DC6711" w:rsidP="00771ED6">
      <w:pPr>
        <w:ind w:right="424"/>
        <w:jc w:val="both"/>
        <w:rPr>
          <w:sz w:val="27"/>
          <w:szCs w:val="27"/>
        </w:rPr>
      </w:pPr>
      <w:r>
        <w:rPr>
          <w:sz w:val="27"/>
          <w:szCs w:val="27"/>
        </w:rPr>
        <w:t xml:space="preserve">     В соответствии с пунктом 1 статьи 292 ГК РФ дееспособные</w:t>
      </w:r>
      <w:r w:rsidRPr="00DC6711">
        <w:rPr>
          <w:sz w:val="27"/>
          <w:szCs w:val="27"/>
        </w:rPr>
        <w:t xml:space="preserve">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r>
        <w:rPr>
          <w:sz w:val="27"/>
          <w:szCs w:val="27"/>
        </w:rPr>
        <w:t>, поэтому, исходя из положений статьи  322 ГК РФ, предъявление искового требования только              к собственнику жилого помещения, является правом истца</w:t>
      </w:r>
      <w:r w:rsidRPr="00DC6711">
        <w:rPr>
          <w:sz w:val="27"/>
          <w:szCs w:val="27"/>
        </w:rPr>
        <w:t>.</w:t>
      </w:r>
    </w:p>
    <w:p w:rsidR="00C82C8D" w:rsidP="00771ED6">
      <w:pPr>
        <w:ind w:right="424"/>
        <w:jc w:val="both"/>
        <w:rPr>
          <w:sz w:val="27"/>
          <w:szCs w:val="27"/>
        </w:rPr>
      </w:pPr>
      <w:r w:rsidRPr="00DC6711">
        <w:rPr>
          <w:sz w:val="27"/>
          <w:szCs w:val="27"/>
        </w:rPr>
        <w:t xml:space="preserve">       Согласно расчету задолженность за оказание услуги по обращению </w:t>
      </w:r>
      <w:r>
        <w:rPr>
          <w:sz w:val="27"/>
          <w:szCs w:val="27"/>
        </w:rPr>
        <w:t xml:space="preserve">                   </w:t>
      </w:r>
      <w:r w:rsidRPr="00DC6711">
        <w:rPr>
          <w:sz w:val="27"/>
          <w:szCs w:val="27"/>
        </w:rPr>
        <w:t>с</w:t>
      </w:r>
      <w:r>
        <w:rPr>
          <w:sz w:val="27"/>
          <w:szCs w:val="27"/>
        </w:rPr>
        <w:t xml:space="preserve"> ТКО, за период с 01.01.2019 года по 31.07.2021 года, составила всего 22 173,68 рубля, расчет получен в результате произведения тарифа на количество лиц, зарегистрированных по адресу. В судебном заседании                       не возникло оснований для перерасчета выставленного тарифа к оплате.</w:t>
      </w:r>
    </w:p>
    <w:p w:rsidR="00C82C8D" w:rsidP="00746549">
      <w:pPr>
        <w:ind w:right="424" w:firstLine="426"/>
        <w:jc w:val="both"/>
        <w:rPr>
          <w:sz w:val="27"/>
          <w:szCs w:val="27"/>
        </w:rPr>
      </w:pPr>
      <w:r>
        <w:rPr>
          <w:sz w:val="27"/>
          <w:szCs w:val="27"/>
        </w:rPr>
        <w:t>В судебном заседании отсутствуют доказательства, свидетельствующие о том, что ответчик  самостоятельно утилизируют ТКО с соблюдением требований в области охраны окружающей среды, имеет договор на оказание услуги по обращению с ТКО с иной специализированной организацией, обращался в ООО «Гринта»  с заявлением о перерасчете суммы задолженности, о ненадлежащим оказании услуги по обращению                        с ТКО, другими требованиями.  Таким образом, установлено, что ООО «Гринта» надлежащим образом оказывает услуги по обращению с ТКО.</w:t>
      </w:r>
    </w:p>
    <w:p w:rsidR="00C82C8D" w:rsidP="00746549">
      <w:pPr>
        <w:ind w:right="424" w:firstLine="426"/>
        <w:jc w:val="both"/>
        <w:rPr>
          <w:sz w:val="27"/>
          <w:szCs w:val="27"/>
        </w:rPr>
      </w:pPr>
      <w:r>
        <w:rPr>
          <w:sz w:val="27"/>
          <w:szCs w:val="27"/>
        </w:rPr>
        <w:t>На основании части 1 статьи 98 ГПК РФ с ответчика следует взыскать расходы по уплате госпошлины.</w:t>
      </w:r>
    </w:p>
    <w:p w:rsidR="00C82C8D" w:rsidRPr="00906FAD" w:rsidP="002F77BF">
      <w:pPr>
        <w:ind w:right="424" w:firstLine="426"/>
        <w:jc w:val="both"/>
        <w:rPr>
          <w:sz w:val="27"/>
          <w:szCs w:val="27"/>
        </w:rPr>
      </w:pPr>
      <w:r>
        <w:rPr>
          <w:sz w:val="27"/>
          <w:szCs w:val="27"/>
        </w:rPr>
        <w:t>Руководствуясь статьями 194-196 ГПК РФ,</w:t>
      </w:r>
    </w:p>
    <w:p w:rsidR="00C82C8D" w:rsidRPr="00906FAD" w:rsidP="007C03BA">
      <w:pPr>
        <w:suppressAutoHyphens w:val="0"/>
        <w:autoSpaceDE w:val="0"/>
        <w:autoSpaceDN w:val="0"/>
        <w:adjustRightInd w:val="0"/>
        <w:ind w:right="424" w:firstLine="426"/>
        <w:jc w:val="center"/>
        <w:rPr>
          <w:sz w:val="27"/>
          <w:szCs w:val="27"/>
          <w:lang w:eastAsia="en-US"/>
        </w:rPr>
      </w:pPr>
      <w:r w:rsidRPr="00906FAD">
        <w:rPr>
          <w:sz w:val="27"/>
          <w:szCs w:val="27"/>
          <w:lang w:eastAsia="en-US"/>
        </w:rPr>
        <w:t>РЕШИЛ:</w:t>
      </w:r>
    </w:p>
    <w:p w:rsidR="00C82C8D" w:rsidRPr="00906FAD" w:rsidP="007C03BA">
      <w:pPr>
        <w:ind w:right="424"/>
        <w:jc w:val="both"/>
        <w:rPr>
          <w:sz w:val="27"/>
          <w:szCs w:val="27"/>
          <w:lang w:eastAsia="en-US"/>
        </w:rPr>
      </w:pPr>
      <w:r w:rsidRPr="00906FAD">
        <w:rPr>
          <w:sz w:val="27"/>
          <w:szCs w:val="27"/>
          <w:lang w:eastAsia="en-US"/>
        </w:rPr>
        <w:t xml:space="preserve">      Иск удовлетворить. </w:t>
      </w:r>
    </w:p>
    <w:p w:rsidR="00C82C8D" w:rsidRPr="004D60B3" w:rsidP="002F77BF">
      <w:pPr>
        <w:ind w:right="424"/>
        <w:jc w:val="both"/>
        <w:rPr>
          <w:sz w:val="27"/>
          <w:szCs w:val="27"/>
          <w:lang w:eastAsia="en-US"/>
        </w:rPr>
      </w:pPr>
      <w:r w:rsidRPr="001A36C4">
        <w:rPr>
          <w:sz w:val="27"/>
          <w:szCs w:val="27"/>
          <w:lang w:eastAsia="en-US"/>
        </w:rPr>
        <w:t xml:space="preserve">      Взыскать с</w:t>
      </w:r>
      <w:r>
        <w:rPr>
          <w:sz w:val="27"/>
          <w:szCs w:val="27"/>
          <w:lang w:eastAsia="en-US"/>
        </w:rPr>
        <w:t xml:space="preserve"> Низамова Ф.М. </w:t>
      </w:r>
      <w:r w:rsidRPr="001A36C4">
        <w:rPr>
          <w:sz w:val="27"/>
          <w:szCs w:val="27"/>
          <w:lang w:eastAsia="en-US"/>
        </w:rPr>
        <w:t xml:space="preserve">в пользу ООО «Гринта» </w:t>
      </w:r>
      <w:r>
        <w:rPr>
          <w:sz w:val="27"/>
          <w:szCs w:val="27"/>
          <w:lang w:eastAsia="en-US"/>
        </w:rPr>
        <w:t xml:space="preserve">  </w:t>
      </w:r>
      <w:r w:rsidRPr="001A36C4">
        <w:rPr>
          <w:sz w:val="27"/>
          <w:szCs w:val="27"/>
          <w:lang w:eastAsia="en-US"/>
        </w:rPr>
        <w:t>задолженность за оказание услуг по обращению с твердыми коммунальными отходами, за период с 01.01.2019 года по  31.07.2021 года,                в сумме</w:t>
      </w:r>
      <w:r>
        <w:rPr>
          <w:sz w:val="27"/>
          <w:szCs w:val="27"/>
          <w:lang w:eastAsia="en-US"/>
        </w:rPr>
        <w:t xml:space="preserve"> 22  173,68 рубля, расходы по уплате госпошлины 835,21 рубля. </w:t>
      </w:r>
      <w:r w:rsidRPr="001A36C4">
        <w:rPr>
          <w:sz w:val="27"/>
          <w:szCs w:val="27"/>
          <w:lang w:eastAsia="en-US"/>
        </w:rPr>
        <w:t xml:space="preserve"> </w:t>
      </w:r>
    </w:p>
    <w:p w:rsidR="00C82C8D" w:rsidRPr="001A36C4" w:rsidP="0083348A">
      <w:pPr>
        <w:pStyle w:val="NoSpacing"/>
        <w:ind w:right="424"/>
        <w:jc w:val="both"/>
        <w:rPr>
          <w:sz w:val="27"/>
          <w:szCs w:val="27"/>
        </w:rPr>
      </w:pPr>
      <w:r w:rsidRPr="001A36C4">
        <w:rPr>
          <w:sz w:val="27"/>
          <w:szCs w:val="27"/>
        </w:rPr>
        <w:t xml:space="preserve">      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участка № 1 по Муслюмовскому судебному району Республики Татарстан. </w:t>
      </w:r>
    </w:p>
    <w:p w:rsidR="00C82C8D" w:rsidP="00637137">
      <w:pPr>
        <w:pStyle w:val="NoSpacing"/>
        <w:ind w:right="424"/>
        <w:jc w:val="both"/>
        <w:rPr>
          <w:sz w:val="27"/>
          <w:szCs w:val="27"/>
        </w:rPr>
      </w:pPr>
      <w:r w:rsidRPr="001A36C4">
        <w:rPr>
          <w:sz w:val="27"/>
          <w:szCs w:val="27"/>
        </w:rPr>
        <w:t xml:space="preserve">      Решение изготовлено на компьютере в совещательной комнате в единственном экземпляре.   </w:t>
      </w:r>
    </w:p>
    <w:p w:rsidR="00C82C8D" w:rsidRPr="001A36C4" w:rsidP="00637137">
      <w:pPr>
        <w:pStyle w:val="NoSpacing"/>
        <w:ind w:right="424"/>
        <w:jc w:val="both"/>
        <w:rPr>
          <w:sz w:val="27"/>
          <w:szCs w:val="27"/>
        </w:rPr>
      </w:pPr>
      <w:r w:rsidRPr="001A36C4">
        <w:rPr>
          <w:sz w:val="27"/>
          <w:szCs w:val="27"/>
        </w:rPr>
        <w:t xml:space="preserve">                                      </w:t>
      </w:r>
    </w:p>
    <w:p w:rsidR="00C82C8D" w:rsidRPr="001A36C4" w:rsidP="00BA229B">
      <w:pPr>
        <w:pStyle w:val="NoSpacing"/>
        <w:ind w:right="141"/>
        <w:jc w:val="both"/>
        <w:rPr>
          <w:sz w:val="27"/>
          <w:szCs w:val="27"/>
        </w:rPr>
      </w:pPr>
      <w:r w:rsidRPr="001A36C4">
        <w:rPr>
          <w:sz w:val="27"/>
          <w:szCs w:val="27"/>
        </w:rPr>
        <w:t xml:space="preserve">                      </w:t>
      </w:r>
      <w:r>
        <w:rPr>
          <w:sz w:val="27"/>
          <w:szCs w:val="27"/>
        </w:rPr>
        <w:t xml:space="preserve">  </w:t>
      </w:r>
      <w:r w:rsidRPr="001A36C4">
        <w:rPr>
          <w:sz w:val="27"/>
          <w:szCs w:val="27"/>
        </w:rPr>
        <w:t xml:space="preserve"> </w:t>
      </w:r>
    </w:p>
    <w:p w:rsidR="00C82C8D" w:rsidRPr="001A36C4" w:rsidP="0083348A">
      <w:pPr>
        <w:pStyle w:val="NoSpacing"/>
        <w:ind w:right="141"/>
        <w:jc w:val="both"/>
        <w:rPr>
          <w:sz w:val="27"/>
          <w:szCs w:val="27"/>
        </w:rPr>
      </w:pPr>
      <w:r>
        <w:rPr>
          <w:sz w:val="27"/>
          <w:szCs w:val="27"/>
        </w:rPr>
        <w:t xml:space="preserve">                        Мировой судья                                     </w:t>
      </w:r>
      <w:r w:rsidRPr="001A36C4">
        <w:rPr>
          <w:sz w:val="27"/>
          <w:szCs w:val="27"/>
        </w:rPr>
        <w:t xml:space="preserve">  Б.И. Ханнанова</w:t>
      </w:r>
    </w:p>
    <w:p w:rsidR="00C82C8D" w:rsidP="0083348A">
      <w:pPr>
        <w:ind w:right="141"/>
        <w:rPr>
          <w:sz w:val="27"/>
          <w:szCs w:val="27"/>
        </w:rPr>
      </w:pPr>
    </w:p>
    <w:p w:rsidR="00C82C8D" w:rsidP="0083348A">
      <w:pPr>
        <w:ind w:right="141"/>
        <w:rPr>
          <w:sz w:val="27"/>
          <w:szCs w:val="27"/>
        </w:rPr>
      </w:pPr>
    </w:p>
    <w:p w:rsidR="00C82C8D" w:rsidP="0083348A">
      <w:pPr>
        <w:ind w:right="141"/>
        <w:rPr>
          <w:sz w:val="27"/>
          <w:szCs w:val="27"/>
        </w:rPr>
      </w:pPr>
    </w:p>
    <w:p w:rsidR="00C82C8D" w:rsidP="0083348A">
      <w:pPr>
        <w:ind w:right="141"/>
        <w:rPr>
          <w:sz w:val="27"/>
          <w:szCs w:val="27"/>
        </w:rPr>
      </w:pPr>
    </w:p>
    <w:p w:rsidR="00C82C8D" w:rsidRPr="001A36C4" w:rsidP="0083348A">
      <w:pPr>
        <w:ind w:right="141"/>
        <w:rPr>
          <w:sz w:val="27"/>
          <w:szCs w:val="27"/>
        </w:rPr>
      </w:pPr>
    </w:p>
    <w:p w:rsidR="00C82C8D" w:rsidRPr="00525854" w:rsidP="0083348A">
      <w:pPr>
        <w:ind w:right="141"/>
        <w:jc w:val="both"/>
        <w:rPr>
          <w:sz w:val="22"/>
          <w:szCs w:val="22"/>
        </w:rPr>
      </w:pPr>
    </w:p>
    <w:p w:rsidR="00C82C8D" w:rsidRPr="00525854" w:rsidP="0083348A">
      <w:pPr>
        <w:pStyle w:val="NoSpacing"/>
        <w:jc w:val="both"/>
        <w:rPr>
          <w:sz w:val="22"/>
          <w:szCs w:val="22"/>
        </w:rPr>
      </w:pPr>
    </w:p>
    <w:p w:rsidR="00C82C8D" w:rsidRPr="00525854" w:rsidP="005D3045">
      <w:pPr>
        <w:pStyle w:val="NoSpacing"/>
        <w:jc w:val="both"/>
        <w:rPr>
          <w:sz w:val="22"/>
          <w:szCs w:val="22"/>
        </w:rPr>
      </w:pPr>
      <w:r w:rsidRPr="00525854">
        <w:rPr>
          <w:sz w:val="22"/>
          <w:szCs w:val="22"/>
        </w:rPr>
        <w:t xml:space="preserve">                                                                                            </w:t>
      </w:r>
    </w:p>
    <w:p w:rsidR="00C82C8D" w:rsidRPr="00525854" w:rsidP="005D3045">
      <w:pPr>
        <w:pStyle w:val="NoSpacing"/>
        <w:jc w:val="both"/>
        <w:rPr>
          <w:sz w:val="22"/>
          <w:szCs w:val="22"/>
        </w:rPr>
      </w:pPr>
    </w:p>
    <w:p w:rsidR="00C82C8D" w:rsidRPr="00525854" w:rsidP="005D3045">
      <w:pPr>
        <w:pStyle w:val="NoSpacing"/>
        <w:jc w:val="both"/>
        <w:rPr>
          <w:sz w:val="22"/>
          <w:szCs w:val="22"/>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5D3045">
      <w:pPr>
        <w:pStyle w:val="NoSpacing"/>
        <w:jc w:val="both"/>
        <w:rPr>
          <w:sz w:val="27"/>
          <w:szCs w:val="27"/>
        </w:rPr>
      </w:pPr>
    </w:p>
    <w:p w:rsidR="00C82C8D" w:rsidP="002F77BF">
      <w:pPr>
        <w:pStyle w:val="NoSpacing"/>
        <w:jc w:val="both"/>
        <w:rPr>
          <w:sz w:val="24"/>
          <w:szCs w:val="24"/>
        </w:rPr>
      </w:pPr>
    </w:p>
    <w:p w:rsidR="00C82C8D" w:rsidP="002F77BF">
      <w:pPr>
        <w:pStyle w:val="NoSpacing"/>
        <w:jc w:val="center"/>
        <w:rPr>
          <w:sz w:val="24"/>
          <w:szCs w:val="24"/>
        </w:rPr>
      </w:pPr>
    </w:p>
    <w:p w:rsidR="00C82C8D" w:rsidP="002F77BF">
      <w:pPr>
        <w:pStyle w:val="NoSpacing"/>
        <w:jc w:val="center"/>
        <w:rPr>
          <w:sz w:val="24"/>
          <w:szCs w:val="24"/>
        </w:rPr>
      </w:pPr>
    </w:p>
    <w:p w:rsidR="00C82C8D" w:rsidP="002F77BF">
      <w:pPr>
        <w:pStyle w:val="NoSpacing"/>
        <w:jc w:val="center"/>
        <w:rPr>
          <w:sz w:val="24"/>
          <w:szCs w:val="24"/>
        </w:rPr>
      </w:pPr>
    </w:p>
    <w:p w:rsidR="00C82C8D" w:rsidRPr="006575E0" w:rsidP="002F77BF">
      <w:pPr>
        <w:pStyle w:val="NoSpacing"/>
        <w:jc w:val="center"/>
        <w:rPr>
          <w:sz w:val="24"/>
          <w:szCs w:val="24"/>
        </w:rPr>
      </w:pPr>
    </w:p>
    <w:p w:rsidR="00C82C8D" w:rsidRPr="006575E0" w:rsidP="002F77BF">
      <w:pPr>
        <w:pStyle w:val="NoSpacing"/>
        <w:jc w:val="both"/>
        <w:rPr>
          <w:sz w:val="24"/>
          <w:szCs w:val="24"/>
        </w:rPr>
      </w:pPr>
    </w:p>
    <w:sectPr w:rsidSect="002710E1">
      <w:footerReference w:type="default" r:id="rId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D">
    <w:pPr>
      <w:pStyle w:val="Footer"/>
    </w:pPr>
    <w:r>
      <w:fldChar w:fldCharType="begin"/>
    </w:r>
    <w:r>
      <w:instrText xml:space="preserve"> PAGE   \* MERGEFORMAT </w:instrText>
    </w:r>
    <w:r>
      <w:fldChar w:fldCharType="separate"/>
    </w:r>
    <w:r>
      <w:rPr>
        <w:noProof/>
      </w:rPr>
      <w:t>4</w:t>
    </w:r>
    <w:r>
      <w:rPr>
        <w:noProof/>
      </w:rPr>
      <w:fldChar w:fldCharType="end"/>
    </w:r>
  </w:p>
  <w:p w:rsidR="00C82C8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E4E"/>
    <w:rsid w:val="0001005F"/>
    <w:rsid w:val="000235E8"/>
    <w:rsid w:val="00025E55"/>
    <w:rsid w:val="000355C2"/>
    <w:rsid w:val="000545DF"/>
    <w:rsid w:val="000839DE"/>
    <w:rsid w:val="00097324"/>
    <w:rsid w:val="000A31F3"/>
    <w:rsid w:val="000A475A"/>
    <w:rsid w:val="000B20B3"/>
    <w:rsid w:val="000B3B37"/>
    <w:rsid w:val="000B4FEE"/>
    <w:rsid w:val="000B5B48"/>
    <w:rsid w:val="000B6949"/>
    <w:rsid w:val="000C36E6"/>
    <w:rsid w:val="000D149D"/>
    <w:rsid w:val="000D1836"/>
    <w:rsid w:val="000D6522"/>
    <w:rsid w:val="000D6901"/>
    <w:rsid w:val="00100B44"/>
    <w:rsid w:val="001419CA"/>
    <w:rsid w:val="00142055"/>
    <w:rsid w:val="0014553B"/>
    <w:rsid w:val="0015208F"/>
    <w:rsid w:val="0015523C"/>
    <w:rsid w:val="00173524"/>
    <w:rsid w:val="00181731"/>
    <w:rsid w:val="00187AFC"/>
    <w:rsid w:val="00190465"/>
    <w:rsid w:val="001A1085"/>
    <w:rsid w:val="001A340D"/>
    <w:rsid w:val="001A36C4"/>
    <w:rsid w:val="001A608B"/>
    <w:rsid w:val="001B44EA"/>
    <w:rsid w:val="001C2D50"/>
    <w:rsid w:val="001D450C"/>
    <w:rsid w:val="001D71D0"/>
    <w:rsid w:val="001E1E98"/>
    <w:rsid w:val="001E773C"/>
    <w:rsid w:val="001F07DD"/>
    <w:rsid w:val="001F799B"/>
    <w:rsid w:val="00205415"/>
    <w:rsid w:val="002110EF"/>
    <w:rsid w:val="0021173D"/>
    <w:rsid w:val="002211CA"/>
    <w:rsid w:val="00222E54"/>
    <w:rsid w:val="002364CF"/>
    <w:rsid w:val="00242F15"/>
    <w:rsid w:val="002529C4"/>
    <w:rsid w:val="00260EC0"/>
    <w:rsid w:val="002710E1"/>
    <w:rsid w:val="00272ABF"/>
    <w:rsid w:val="002861B1"/>
    <w:rsid w:val="00295624"/>
    <w:rsid w:val="00295E67"/>
    <w:rsid w:val="002A184A"/>
    <w:rsid w:val="002A5657"/>
    <w:rsid w:val="002C2E50"/>
    <w:rsid w:val="002C3DD2"/>
    <w:rsid w:val="002C4032"/>
    <w:rsid w:val="002C4E68"/>
    <w:rsid w:val="002C6ECF"/>
    <w:rsid w:val="002D55CC"/>
    <w:rsid w:val="002D6349"/>
    <w:rsid w:val="002F1F91"/>
    <w:rsid w:val="002F77BF"/>
    <w:rsid w:val="00314993"/>
    <w:rsid w:val="003238E2"/>
    <w:rsid w:val="0032708B"/>
    <w:rsid w:val="00331103"/>
    <w:rsid w:val="0033449A"/>
    <w:rsid w:val="003444A9"/>
    <w:rsid w:val="00370230"/>
    <w:rsid w:val="00385086"/>
    <w:rsid w:val="00396234"/>
    <w:rsid w:val="00397B44"/>
    <w:rsid w:val="003A2A99"/>
    <w:rsid w:val="003B4DE1"/>
    <w:rsid w:val="003C2560"/>
    <w:rsid w:val="003C70F7"/>
    <w:rsid w:val="003D7081"/>
    <w:rsid w:val="003E32CF"/>
    <w:rsid w:val="003F2176"/>
    <w:rsid w:val="004016D5"/>
    <w:rsid w:val="00402266"/>
    <w:rsid w:val="00414113"/>
    <w:rsid w:val="0042106C"/>
    <w:rsid w:val="00422D47"/>
    <w:rsid w:val="00422E84"/>
    <w:rsid w:val="0043479E"/>
    <w:rsid w:val="004417EB"/>
    <w:rsid w:val="00442CA1"/>
    <w:rsid w:val="004678B8"/>
    <w:rsid w:val="004765FD"/>
    <w:rsid w:val="00486899"/>
    <w:rsid w:val="004938D3"/>
    <w:rsid w:val="004A25EF"/>
    <w:rsid w:val="004A42BF"/>
    <w:rsid w:val="004A7D14"/>
    <w:rsid w:val="004B7594"/>
    <w:rsid w:val="004C0CD6"/>
    <w:rsid w:val="004D2427"/>
    <w:rsid w:val="004D324F"/>
    <w:rsid w:val="004D60B3"/>
    <w:rsid w:val="00501D39"/>
    <w:rsid w:val="00505A05"/>
    <w:rsid w:val="005073BA"/>
    <w:rsid w:val="005212FB"/>
    <w:rsid w:val="00525854"/>
    <w:rsid w:val="005266D4"/>
    <w:rsid w:val="00527E0E"/>
    <w:rsid w:val="005507E2"/>
    <w:rsid w:val="00552386"/>
    <w:rsid w:val="0057079D"/>
    <w:rsid w:val="0057449E"/>
    <w:rsid w:val="00576DD0"/>
    <w:rsid w:val="005817ED"/>
    <w:rsid w:val="005819A0"/>
    <w:rsid w:val="005826A1"/>
    <w:rsid w:val="005A56C1"/>
    <w:rsid w:val="005A62F2"/>
    <w:rsid w:val="005B4A33"/>
    <w:rsid w:val="005C2255"/>
    <w:rsid w:val="005C758E"/>
    <w:rsid w:val="005D25EC"/>
    <w:rsid w:val="005D3045"/>
    <w:rsid w:val="005E1583"/>
    <w:rsid w:val="005E40DC"/>
    <w:rsid w:val="005F3A2E"/>
    <w:rsid w:val="0061687D"/>
    <w:rsid w:val="006308AD"/>
    <w:rsid w:val="00634727"/>
    <w:rsid w:val="00636E2E"/>
    <w:rsid w:val="00637137"/>
    <w:rsid w:val="006529CA"/>
    <w:rsid w:val="0065423E"/>
    <w:rsid w:val="00655874"/>
    <w:rsid w:val="006575E0"/>
    <w:rsid w:val="00672ACC"/>
    <w:rsid w:val="00673BA6"/>
    <w:rsid w:val="0068509F"/>
    <w:rsid w:val="006909F5"/>
    <w:rsid w:val="006A365A"/>
    <w:rsid w:val="006A5EF7"/>
    <w:rsid w:val="006C161D"/>
    <w:rsid w:val="006D2A51"/>
    <w:rsid w:val="006E0512"/>
    <w:rsid w:val="00703A66"/>
    <w:rsid w:val="007043B3"/>
    <w:rsid w:val="00707ED1"/>
    <w:rsid w:val="00710ECD"/>
    <w:rsid w:val="00712C86"/>
    <w:rsid w:val="00726549"/>
    <w:rsid w:val="007313F5"/>
    <w:rsid w:val="00734158"/>
    <w:rsid w:val="0073617F"/>
    <w:rsid w:val="00737574"/>
    <w:rsid w:val="00740F25"/>
    <w:rsid w:val="00746549"/>
    <w:rsid w:val="00746619"/>
    <w:rsid w:val="007469D7"/>
    <w:rsid w:val="00752CD3"/>
    <w:rsid w:val="00771ED6"/>
    <w:rsid w:val="00792B8C"/>
    <w:rsid w:val="007A063D"/>
    <w:rsid w:val="007A21F5"/>
    <w:rsid w:val="007A7FC1"/>
    <w:rsid w:val="007B12E1"/>
    <w:rsid w:val="007B1FC8"/>
    <w:rsid w:val="007B2335"/>
    <w:rsid w:val="007C03BA"/>
    <w:rsid w:val="007C2CF9"/>
    <w:rsid w:val="007C489C"/>
    <w:rsid w:val="007C5E37"/>
    <w:rsid w:val="007D05BA"/>
    <w:rsid w:val="007D1D2B"/>
    <w:rsid w:val="007D395B"/>
    <w:rsid w:val="007E4DAD"/>
    <w:rsid w:val="007F7C2B"/>
    <w:rsid w:val="00803A5D"/>
    <w:rsid w:val="0082389F"/>
    <w:rsid w:val="0083348A"/>
    <w:rsid w:val="00834FBE"/>
    <w:rsid w:val="00864F98"/>
    <w:rsid w:val="008658A8"/>
    <w:rsid w:val="00883D45"/>
    <w:rsid w:val="008C4BD7"/>
    <w:rsid w:val="008D7695"/>
    <w:rsid w:val="008F4238"/>
    <w:rsid w:val="00906BEC"/>
    <w:rsid w:val="00906FAD"/>
    <w:rsid w:val="00911892"/>
    <w:rsid w:val="00911C0E"/>
    <w:rsid w:val="00913067"/>
    <w:rsid w:val="0091380A"/>
    <w:rsid w:val="0091594C"/>
    <w:rsid w:val="00916ECE"/>
    <w:rsid w:val="009213FC"/>
    <w:rsid w:val="009257D4"/>
    <w:rsid w:val="00927BA9"/>
    <w:rsid w:val="00931953"/>
    <w:rsid w:val="00954CDD"/>
    <w:rsid w:val="00954E77"/>
    <w:rsid w:val="00964246"/>
    <w:rsid w:val="0097089C"/>
    <w:rsid w:val="00974948"/>
    <w:rsid w:val="009A7BF2"/>
    <w:rsid w:val="009B18E3"/>
    <w:rsid w:val="009C13F5"/>
    <w:rsid w:val="009C4EF8"/>
    <w:rsid w:val="009F3FAD"/>
    <w:rsid w:val="009F5498"/>
    <w:rsid w:val="00A04F51"/>
    <w:rsid w:val="00A203AE"/>
    <w:rsid w:val="00A3442F"/>
    <w:rsid w:val="00A440BF"/>
    <w:rsid w:val="00A50582"/>
    <w:rsid w:val="00A574B1"/>
    <w:rsid w:val="00A62774"/>
    <w:rsid w:val="00A71995"/>
    <w:rsid w:val="00A76C35"/>
    <w:rsid w:val="00A81170"/>
    <w:rsid w:val="00A812CC"/>
    <w:rsid w:val="00A9692B"/>
    <w:rsid w:val="00AB66F7"/>
    <w:rsid w:val="00AE728F"/>
    <w:rsid w:val="00AF1FA9"/>
    <w:rsid w:val="00AF3D97"/>
    <w:rsid w:val="00AF7A0F"/>
    <w:rsid w:val="00B01D36"/>
    <w:rsid w:val="00B06EC2"/>
    <w:rsid w:val="00B118D5"/>
    <w:rsid w:val="00B15CF4"/>
    <w:rsid w:val="00B16CAF"/>
    <w:rsid w:val="00B26434"/>
    <w:rsid w:val="00B37602"/>
    <w:rsid w:val="00B430E3"/>
    <w:rsid w:val="00B74AD0"/>
    <w:rsid w:val="00B762C8"/>
    <w:rsid w:val="00B9175F"/>
    <w:rsid w:val="00B97396"/>
    <w:rsid w:val="00BA229B"/>
    <w:rsid w:val="00BC5567"/>
    <w:rsid w:val="00BE22C1"/>
    <w:rsid w:val="00BE63C9"/>
    <w:rsid w:val="00BF1A6F"/>
    <w:rsid w:val="00BF391E"/>
    <w:rsid w:val="00BF65A3"/>
    <w:rsid w:val="00BF70EB"/>
    <w:rsid w:val="00C0501F"/>
    <w:rsid w:val="00C20148"/>
    <w:rsid w:val="00C25E74"/>
    <w:rsid w:val="00C33BDC"/>
    <w:rsid w:val="00C40119"/>
    <w:rsid w:val="00C41B48"/>
    <w:rsid w:val="00C50E4E"/>
    <w:rsid w:val="00C55523"/>
    <w:rsid w:val="00C77D87"/>
    <w:rsid w:val="00C8106B"/>
    <w:rsid w:val="00C82C8D"/>
    <w:rsid w:val="00C914FF"/>
    <w:rsid w:val="00CA2291"/>
    <w:rsid w:val="00CA6C97"/>
    <w:rsid w:val="00CB3473"/>
    <w:rsid w:val="00CB450A"/>
    <w:rsid w:val="00CE3840"/>
    <w:rsid w:val="00D05784"/>
    <w:rsid w:val="00D167EA"/>
    <w:rsid w:val="00D1685B"/>
    <w:rsid w:val="00D30190"/>
    <w:rsid w:val="00D34A7F"/>
    <w:rsid w:val="00D34CB4"/>
    <w:rsid w:val="00D473FF"/>
    <w:rsid w:val="00DA0026"/>
    <w:rsid w:val="00DA2F18"/>
    <w:rsid w:val="00DA721B"/>
    <w:rsid w:val="00DB04FD"/>
    <w:rsid w:val="00DC6711"/>
    <w:rsid w:val="00DC7820"/>
    <w:rsid w:val="00DE6D5B"/>
    <w:rsid w:val="00DF2676"/>
    <w:rsid w:val="00DF6CFF"/>
    <w:rsid w:val="00E02B63"/>
    <w:rsid w:val="00E131C6"/>
    <w:rsid w:val="00E1394E"/>
    <w:rsid w:val="00E1629D"/>
    <w:rsid w:val="00E21AE8"/>
    <w:rsid w:val="00E62E88"/>
    <w:rsid w:val="00E765EE"/>
    <w:rsid w:val="00E85083"/>
    <w:rsid w:val="00E928AA"/>
    <w:rsid w:val="00EA60B1"/>
    <w:rsid w:val="00EB1E3D"/>
    <w:rsid w:val="00ED14BB"/>
    <w:rsid w:val="00ED7D6C"/>
    <w:rsid w:val="00EF2719"/>
    <w:rsid w:val="00EF37CD"/>
    <w:rsid w:val="00F1164F"/>
    <w:rsid w:val="00F1167B"/>
    <w:rsid w:val="00F15E1F"/>
    <w:rsid w:val="00F17536"/>
    <w:rsid w:val="00F3080A"/>
    <w:rsid w:val="00F61434"/>
    <w:rsid w:val="00F708A2"/>
    <w:rsid w:val="00F756FA"/>
    <w:rsid w:val="00F8425A"/>
    <w:rsid w:val="00FA0CD7"/>
    <w:rsid w:val="00FB349E"/>
    <w:rsid w:val="00FB5BF5"/>
    <w:rsid w:val="00FB69EC"/>
    <w:rsid w:val="00FB6CB5"/>
    <w:rsid w:val="00FC1586"/>
    <w:rsid w:val="00FD31E9"/>
    <w:rsid w:val="00FD5273"/>
    <w:rsid w:val="00FF263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0F"/>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60B1"/>
    <w:rPr>
      <w:rFonts w:cs="Times New Roman"/>
      <w:color w:val="0000FF"/>
      <w:u w:val="single"/>
    </w:rPr>
  </w:style>
  <w:style w:type="paragraph" w:styleId="NoSpacing">
    <w:name w:val="No Spacing"/>
    <w:uiPriority w:val="99"/>
    <w:qFormat/>
    <w:rsid w:val="005D3045"/>
    <w:pPr>
      <w:suppressAutoHyphens/>
    </w:pPr>
    <w:rPr>
      <w:rFonts w:ascii="Times New Roman" w:eastAsia="Times New Roman" w:hAnsi="Times New Roman"/>
      <w:sz w:val="20"/>
      <w:szCs w:val="20"/>
      <w:lang w:eastAsia="ar-SA"/>
    </w:rPr>
  </w:style>
  <w:style w:type="paragraph" w:styleId="BalloonText">
    <w:name w:val="Balloon Text"/>
    <w:basedOn w:val="Normal"/>
    <w:link w:val="BalloonTextChar"/>
    <w:uiPriority w:val="99"/>
    <w:semiHidden/>
    <w:rsid w:val="007313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F5"/>
    <w:rPr>
      <w:rFonts w:ascii="Tahoma" w:hAnsi="Tahoma" w:cs="Tahoma"/>
      <w:sz w:val="16"/>
      <w:szCs w:val="16"/>
      <w:lang w:eastAsia="ar-SA" w:bidi="ar-SA"/>
    </w:rPr>
  </w:style>
  <w:style w:type="paragraph" w:customStyle="1" w:styleId="ConsPlusNormal">
    <w:name w:val="ConsPlusNormal"/>
    <w:uiPriority w:val="99"/>
    <w:rsid w:val="001B44EA"/>
    <w:pPr>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semiHidden/>
    <w:rsid w:val="00DA721B"/>
    <w:pPr>
      <w:tabs>
        <w:tab w:val="center" w:pos="4677"/>
        <w:tab w:val="right" w:pos="9355"/>
      </w:tabs>
    </w:pPr>
  </w:style>
  <w:style w:type="character" w:customStyle="1" w:styleId="HeaderChar">
    <w:name w:val="Header Char"/>
    <w:basedOn w:val="DefaultParagraphFont"/>
    <w:link w:val="Header"/>
    <w:uiPriority w:val="99"/>
    <w:semiHidden/>
    <w:locked/>
    <w:rsid w:val="00DA721B"/>
    <w:rPr>
      <w:rFonts w:ascii="Times New Roman" w:hAnsi="Times New Roman" w:cs="Times New Roman"/>
      <w:sz w:val="20"/>
      <w:szCs w:val="20"/>
      <w:lang w:eastAsia="ar-SA" w:bidi="ar-SA"/>
    </w:rPr>
  </w:style>
  <w:style w:type="paragraph" w:styleId="Footer">
    <w:name w:val="footer"/>
    <w:basedOn w:val="Normal"/>
    <w:link w:val="FooterChar"/>
    <w:uiPriority w:val="99"/>
    <w:rsid w:val="00DA721B"/>
    <w:pPr>
      <w:tabs>
        <w:tab w:val="center" w:pos="4677"/>
        <w:tab w:val="right" w:pos="9355"/>
      </w:tabs>
    </w:pPr>
  </w:style>
  <w:style w:type="character" w:customStyle="1" w:styleId="FooterChar">
    <w:name w:val="Footer Char"/>
    <w:basedOn w:val="DefaultParagraphFont"/>
    <w:link w:val="Footer"/>
    <w:uiPriority w:val="99"/>
    <w:locked/>
    <w:rsid w:val="00DA721B"/>
    <w:rPr>
      <w:rFonts w:ascii="Times New Roman" w:hAnsi="Times New Roman" w:cs="Times New Roman"/>
      <w:sz w:val="20"/>
      <w:szCs w:val="20"/>
      <w:lang w:eastAsia="ar-SA" w:bidi="ar-SA"/>
    </w:rPr>
  </w:style>
  <w:style w:type="character" w:styleId="Emphasis">
    <w:name w:val="Emphasis"/>
    <w:basedOn w:val="DefaultParagraphFont"/>
    <w:uiPriority w:val="99"/>
    <w:qFormat/>
    <w:rsid w:val="009C13F5"/>
    <w:rPr>
      <w:rFonts w:cs="Times New Roman"/>
      <w:i/>
      <w:iCs/>
    </w:rPr>
  </w:style>
  <w:style w:type="paragraph" w:customStyle="1" w:styleId="s1">
    <w:name w:val="s_1"/>
    <w:basedOn w:val="Normal"/>
    <w:uiPriority w:val="99"/>
    <w:rsid w:val="000D149D"/>
    <w:pPr>
      <w:suppressAutoHyphens w:val="0"/>
      <w:spacing w:before="100" w:beforeAutospacing="1" w:after="100" w:afterAutospacing="1"/>
    </w:pPr>
    <w:rPr>
      <w:sz w:val="24"/>
      <w:szCs w:val="24"/>
      <w:lang w:eastAsia="ru-RU"/>
    </w:rPr>
  </w:style>
  <w:style w:type="paragraph" w:customStyle="1" w:styleId="indent1">
    <w:name w:val="indent_1"/>
    <w:basedOn w:val="Normal"/>
    <w:uiPriority w:val="99"/>
    <w:rsid w:val="005A62F2"/>
    <w:pPr>
      <w:suppressAutoHyphens w:val="0"/>
      <w:spacing w:before="100" w:beforeAutospacing="1" w:after="100" w:afterAutospacing="1"/>
    </w:pPr>
    <w:rPr>
      <w:sz w:val="24"/>
      <w:szCs w:val="24"/>
      <w:lang w:eastAsia="ru-RU"/>
    </w:rPr>
  </w:style>
  <w:style w:type="character" w:customStyle="1" w:styleId="s10">
    <w:name w:val="s_10"/>
    <w:basedOn w:val="DefaultParagraphFont"/>
    <w:uiPriority w:val="99"/>
    <w:rsid w:val="005A62F2"/>
    <w:rPr>
      <w:rFonts w:cs="Times New Roman"/>
    </w:rPr>
  </w:style>
  <w:style w:type="paragraph" w:customStyle="1" w:styleId="s3">
    <w:name w:val="s_3"/>
    <w:basedOn w:val="Normal"/>
    <w:uiPriority w:val="99"/>
    <w:rsid w:val="005A62F2"/>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