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pStyle w:val="Heading2"/>
        <w:spacing w:before="0" w:after="0"/>
        <w:ind w:firstLine="709"/>
        <w:jc w:val="right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iCs w:val="0"/>
          <w:sz w:val="28"/>
          <w:szCs w:val="28"/>
        </w:rPr>
        <w:t>Дело № 2-2-</w:t>
      </w:r>
      <w:r>
        <w:rPr>
          <w:b w:val="0"/>
          <w:bCs w:val="0"/>
          <w:i w:val="0"/>
          <w:iCs w:val="0"/>
          <w:sz w:val="28"/>
          <w:szCs w:val="28"/>
        </w:rPr>
        <w:t>785</w:t>
      </w:r>
      <w:r>
        <w:rPr>
          <w:b w:val="0"/>
          <w:bCs w:val="0"/>
          <w:i w:val="0"/>
          <w:iCs w:val="0"/>
          <w:sz w:val="28"/>
          <w:szCs w:val="28"/>
        </w:rPr>
        <w:t>/2022</w:t>
      </w:r>
    </w:p>
    <w:p>
      <w:pPr>
        <w:spacing w:before="0" w:after="0"/>
        <w:rPr>
          <w:sz w:val="28"/>
          <w:szCs w:val="28"/>
        </w:rPr>
      </w:pPr>
    </w:p>
    <w:p>
      <w:pPr>
        <w:pStyle w:val="Heading2"/>
        <w:spacing w:before="0" w:after="0"/>
        <w:ind w:firstLine="709"/>
        <w:jc w:val="center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iCs w:val="0"/>
          <w:sz w:val="28"/>
          <w:szCs w:val="28"/>
        </w:rPr>
        <w:t xml:space="preserve">ЗАОЧНОЕ </w:t>
      </w:r>
      <w:r>
        <w:rPr>
          <w:b w:val="0"/>
          <w:bCs w:val="0"/>
          <w:i w:val="0"/>
          <w:iCs w:val="0"/>
          <w:sz w:val="28"/>
          <w:szCs w:val="28"/>
        </w:rPr>
        <w:t>РЕШЕНИЕ</w:t>
      </w: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ФЕДЕРАЦИИ</w:t>
      </w: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РЕЗОЛЮТИВНАЯ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ЧАСТЬ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pStyle w:val="Heading1"/>
        <w:spacing w:before="0" w:after="0"/>
        <w:ind w:firstLine="709"/>
        <w:jc w:val="both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>15 августа</w:t>
      </w:r>
      <w:r>
        <w:rPr>
          <w:b w:val="0"/>
          <w:bCs w:val="0"/>
          <w:i w:val="0"/>
          <w:sz w:val="28"/>
          <w:szCs w:val="28"/>
        </w:rPr>
        <w:t xml:space="preserve"> 2022</w:t>
      </w:r>
      <w:r>
        <w:rPr>
          <w:b w:val="0"/>
          <w:bCs w:val="0"/>
          <w:i w:val="0"/>
          <w:sz w:val="28"/>
          <w:szCs w:val="28"/>
        </w:rPr>
        <w:t xml:space="preserve"> года</w:t>
      </w:r>
      <w:r>
        <w:rPr>
          <w:b w:val="0"/>
          <w:bCs w:val="0"/>
          <w:i w:val="0"/>
          <w:sz w:val="28"/>
          <w:szCs w:val="28"/>
        </w:rPr>
        <w:t xml:space="preserve">                                                         </w:t>
      </w:r>
      <w:r>
        <w:rPr>
          <w:b/>
          <w:bCs/>
          <w:i w:val="0"/>
          <w:sz w:val="28"/>
          <w:szCs w:val="28"/>
        </w:rPr>
        <w:tab/>
      </w:r>
      <w:r>
        <w:rPr>
          <w:b/>
          <w:bCs/>
          <w:i w:val="0"/>
          <w:sz w:val="28"/>
          <w:szCs w:val="28"/>
        </w:rPr>
        <w:tab/>
      </w:r>
      <w:r>
        <w:rPr>
          <w:b w:val="0"/>
          <w:bCs w:val="0"/>
          <w:i w:val="0"/>
          <w:sz w:val="28"/>
          <w:szCs w:val="28"/>
        </w:rPr>
        <w:t xml:space="preserve">  </w:t>
      </w:r>
      <w:r>
        <w:rPr>
          <w:b w:val="0"/>
          <w:bCs w:val="0"/>
          <w:i w:val="0"/>
          <w:sz w:val="28"/>
          <w:szCs w:val="28"/>
        </w:rPr>
        <w:t xml:space="preserve">    </w:t>
      </w:r>
      <w:r>
        <w:rPr>
          <w:b w:val="0"/>
          <w:bCs w:val="0"/>
          <w:i w:val="0"/>
          <w:sz w:val="28"/>
          <w:szCs w:val="28"/>
        </w:rPr>
        <w:t>г. Лаишево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2 по Лаишевскому судебному району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секретаре судебного заседания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И.Г. </w:t>
      </w:r>
      <w:r>
        <w:rPr>
          <w:rFonts w:ascii="Times New Roman" w:eastAsia="Times New Roman" w:hAnsi="Times New Roman" w:cs="Times New Roman"/>
          <w:sz w:val="28"/>
          <w:szCs w:val="28"/>
        </w:rPr>
        <w:t>Моряшовой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зале суда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открытом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гражданское дело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иску </w:t>
      </w:r>
      <w:r>
        <w:rPr>
          <w:rFonts w:ascii="Times New Roman" w:eastAsia="Times New Roman" w:hAnsi="Times New Roman" w:cs="Times New Roman"/>
          <w:sz w:val="28"/>
          <w:szCs w:val="28"/>
        </w:rPr>
        <w:t>Общества с ограниченной ответственностью «Феникс»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Артамонову </w:t>
      </w:r>
      <w:r>
        <w:rPr>
          <w:rStyle w:val="cat-UserDefinedgrp-13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 взыскании задолженности по кредитному договору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уководствуясь статьями 194-199</w:t>
      </w:r>
      <w:r>
        <w:rPr>
          <w:rFonts w:ascii="Times New Roman" w:eastAsia="Times New Roman" w:hAnsi="Times New Roman" w:cs="Times New Roman"/>
          <w:sz w:val="28"/>
          <w:szCs w:val="28"/>
        </w:rPr>
        <w:t>, 233-235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Гражданского процессуального кодекса Российской Федерации,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Исковое заявление удовлетворить.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</w:rPr>
        <w:t>Артамонов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14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пользу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Общества с ограниченной ответственностью «Феникс» </w:t>
      </w:r>
      <w:r>
        <w:rPr>
          <w:rFonts w:ascii="Times New Roman" w:eastAsia="Times New Roman" w:hAnsi="Times New Roman" w:cs="Times New Roman"/>
          <w:sz w:val="28"/>
          <w:szCs w:val="28"/>
        </w:rPr>
        <w:t>задолженность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кредитному договору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Style w:val="cat-UserDefinedgrp-15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23.02.2013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период с </w:t>
      </w:r>
      <w:r>
        <w:rPr>
          <w:rFonts w:ascii="Times New Roman" w:eastAsia="Times New Roman" w:hAnsi="Times New Roman" w:cs="Times New Roman"/>
          <w:sz w:val="28"/>
          <w:szCs w:val="28"/>
        </w:rPr>
        <w:t>22.07.2014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27.12.2014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26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550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(двадцать шесть тысяч пятьсот пятьдесят)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</w:t>
      </w:r>
      <w:r>
        <w:rPr>
          <w:rFonts w:ascii="Times New Roman" w:eastAsia="Times New Roman" w:hAnsi="Times New Roman" w:cs="Times New Roman"/>
          <w:sz w:val="28"/>
          <w:szCs w:val="28"/>
        </w:rPr>
        <w:t>94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копе</w:t>
      </w:r>
      <w:r>
        <w:rPr>
          <w:rFonts w:ascii="Times New Roman" w:eastAsia="Times New Roman" w:hAnsi="Times New Roman" w:cs="Times New Roman"/>
          <w:sz w:val="28"/>
          <w:szCs w:val="28"/>
        </w:rPr>
        <w:t>йки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расходов по уплате государственной пошлины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996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(девятьсот девяносто шесть)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рублей </w:t>
      </w:r>
      <w:r>
        <w:rPr>
          <w:rFonts w:ascii="Times New Roman" w:eastAsia="Times New Roman" w:hAnsi="Times New Roman" w:cs="Times New Roman"/>
          <w:sz w:val="28"/>
          <w:szCs w:val="28"/>
        </w:rPr>
        <w:t>53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копе</w:t>
      </w:r>
      <w:r>
        <w:rPr>
          <w:rFonts w:ascii="Times New Roman" w:eastAsia="Times New Roman" w:hAnsi="Times New Roman" w:cs="Times New Roman"/>
          <w:sz w:val="28"/>
          <w:szCs w:val="28"/>
        </w:rPr>
        <w:t>йки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Заочное решение суда может быть обжаловано ответчиком в апелляционном порядке в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Республики Татарстан через мирового судью судебного участка № 2 по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в течение одного месяца со дня вынесения определения суда об отказе в удовлетворении заявления об отмене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этого решения суда.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Мотивированное решение суда по делу будет составлено мировым судьей в течение пяти дней со дня поступления от лиц, участвующих в деле, их </w:t>
      </w:r>
      <w:r>
        <w:rPr>
          <w:rFonts w:ascii="Times New Roman" w:eastAsia="Times New Roman" w:hAnsi="Times New Roman" w:cs="Times New Roman"/>
          <w:sz w:val="28"/>
          <w:szCs w:val="28"/>
        </w:rPr>
        <w:t>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Копия верна: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13rplc-7">
    <w:name w:val="cat-UserDefined grp-13 rplc-7"/>
    <w:basedOn w:val="DefaultParagraphFont"/>
  </w:style>
  <w:style w:type="character" w:customStyle="1" w:styleId="cat-UserDefinedgrp-14rplc-9">
    <w:name w:val="cat-UserDefined grp-14 rplc-9"/>
    <w:basedOn w:val="DefaultParagraphFont"/>
  </w:style>
  <w:style w:type="character" w:customStyle="1" w:styleId="cat-UserDefinedgrp-15rplc-11">
    <w:name w:val="cat-UserDefined grp-15 rplc-1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