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Матвеева </w:t>
      </w:r>
      <w:r>
        <w:rPr>
          <w:rStyle w:val="cat-UserDefined1605465583grp-32rplc-8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на него постановлением №</w:t>
      </w:r>
      <w:r>
        <w:rPr>
          <w:rStyle w:val="cat-UserDefined-1450845481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</w:t>
      </w:r>
      <w:r>
        <w:rPr>
          <w:rFonts w:ascii="Times New Roman" w:eastAsia="Times New Roman" w:hAnsi="Times New Roman" w:cs="Times New Roman"/>
          <w:sz w:val="28"/>
          <w:szCs w:val="28"/>
        </w:rPr>
        <w:t>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1450845481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1605465583grp-32rplc-35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898392901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605465583grp-32rplc-8">
    <w:name w:val="cat-UserDefined1605465583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-1450845481grp-33rplc-13">
    <w:name w:val="cat-UserDefined-1450845481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-1450845481grp-33rplc-27">
    <w:name w:val="cat-UserDefined-1450845481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1605465583grp-32rplc-35">
    <w:name w:val="cat-UserDefined1605465583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UserDefined898392901grp-34rplc-49">
    <w:name w:val="cat-UserDefined898392901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