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MS0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№7 по Ново-Савиновскому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12.2 Кодекса Российской Федерации об административных правонарушениях 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</w:t>
      </w:r>
      <w:r>
        <w:rPr>
          <w:rStyle w:val="cat-UserDefined441301236grp-24rplc-7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автомашиной </w:t>
      </w:r>
      <w:r>
        <w:rPr>
          <w:rStyle w:val="cat-UserDefined-623447462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2070561952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мест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а, 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лобов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стек</w:t>
      </w:r>
      <w:r>
        <w:rPr>
          <w:rFonts w:ascii="Times New Roman" w:eastAsia="Times New Roman" w:hAnsi="Times New Roman" w:cs="Times New Roman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 самым допустил нарушение положений пункта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</w:t>
      </w: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 не явился, о причинах неявки не сообщил, с заявлением об отложении рассмотрения дела не обращался, о дате, месте и времени рассмотрения административного дела извещался судебной повесткой по адресу, указанному в протоколе об административном правонарушении. Заказной конверт с судебной повесткой возвратился в адрес судебного участка с отметкой почтового отделения об истечении срока хранения.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 статьи 25.15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пункта 4 части 1 статьи 29.7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при рассмотрении дела об административном правонарушении судья выясняет, извещены ли участники производства по делу в установленном порядке,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ю Пленума Верховного Суда РФ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(в ред.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ленума Верховного Суда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19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343.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суд рассматривает дело в отсутствие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письменные материалы дела, суд приходит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- влечет наложение административного штрафа в размере </w:t>
      </w:r>
      <w:r>
        <w:rPr>
          <w:rStyle w:val="cat-SumInWordsgrp-17rplc-2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4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при рассмотрении дел об административных правонарушениях, предусмотренных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 статьи 12.2 КоАП РФ, необходимо учитывать, что объективную сторону состава данного административного правонарушения, в частности, образуют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лица по управлению транспортным 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Правил дорожного движения, утвержденных Постановлением Правительства РФ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установленным, что в действиях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 статьи 12.2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нный вывод суда следует из: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3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инспектором ДПС ГИБДД 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МО </w:t>
      </w:r>
      <w:r>
        <w:rPr>
          <w:rFonts w:ascii="Times New Roman" w:eastAsia="Times New Roman" w:hAnsi="Times New Roman" w:cs="Times New Roman"/>
          <w:sz w:val="28"/>
          <w:szCs w:val="28"/>
        </w:rPr>
        <w:t>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автомашиной </w:t>
      </w:r>
      <w:r>
        <w:rPr>
          <w:rStyle w:val="cat-UserDefined-623447462grp-25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2070561952grp-26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установленного на предусмотренное для этого месте государственного регистрационного знака, который находился под лобовым стеклом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фотоматериал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где зафиксирован автомобиль </w:t>
      </w:r>
      <w:r>
        <w:rPr>
          <w:rStyle w:val="cat-UserDefined-623447462grp-2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передн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 (л.д.3-4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 МО лейтенанта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(л.д.11);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(л.д.13-15)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иях, как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правление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 учетом требований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3 статьи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части 2 статьи 4.1 Кодекса Российской Федерации об административных правонарушениях при назначении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признаёт неоднократное привлечение в течении года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за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Санкцией части 2 статьи 12.2 Кодекса Российской Федерации об административных правонарушениях предусмотрено наказание в виде наложения штрафа в размере </w:t>
      </w:r>
      <w:r>
        <w:rPr>
          <w:rStyle w:val="cat-SumInWordsgrp-17rplc-4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лишения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назначения административного наказания в виде административного штрафа суд не находит, считает необходимым с целью недопущения впредь аналогичных правонарушений назначить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наказание в виде лишения права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 сроком на 1 месяц.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-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3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2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441301236grp-24rplc-43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статьи 12.2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1 (один) месяц.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структурное подразделение ОГИБДД УМВД России по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правонарушителю, что согласно статье 32.7 Кодекса Российской Федерации об административных правонарушениях, течение срока лишения специального права начинается со дня вступления постановления в законную силу. В случае уклонения лица,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десяти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 копии постановления в окончательной форме.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cat-FIOgrp-16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________________________года.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Style w:val="cat-FIOgrp-16rplc-47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UserDefined441301236grp-24rplc-7">
    <w:name w:val="cat-UserDefined441301236 grp-24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0rplc-11">
    <w:name w:val="cat-Time grp-20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UserDefined-623447462grp-25rplc-13">
    <w:name w:val="cat-UserDefined-623447462 grp-25 rplc-13"/>
    <w:basedOn w:val="DefaultParagraphFont"/>
  </w:style>
  <w:style w:type="character" w:customStyle="1" w:styleId="cat-UserDefined2070561952grp-26rplc-14">
    <w:name w:val="cat-UserDefined2070561952 grp-2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OrganizationNamegrp-19rplc-20">
    <w:name w:val="cat-OrganizationName grp-19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SumInWordsgrp-17rplc-23">
    <w:name w:val="cat-SumInWords grp-17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PhoneNumbergrp-23rplc-26">
    <w:name w:val="cat-PhoneNumber grp-23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6rplc-30">
    <w:name w:val="cat-Date grp-6 rplc-30"/>
    <w:basedOn w:val="DefaultParagraphFont"/>
  </w:style>
  <w:style w:type="character" w:customStyle="1" w:styleId="cat-Timegrp-20rplc-31">
    <w:name w:val="cat-Time grp-20 rplc-31"/>
    <w:basedOn w:val="DefaultParagraphFont"/>
  </w:style>
  <w:style w:type="character" w:customStyle="1" w:styleId="cat-UserDefined-623447462grp-25rplc-32">
    <w:name w:val="cat-UserDefined-623447462 grp-25 rplc-32"/>
    <w:basedOn w:val="DefaultParagraphFont"/>
  </w:style>
  <w:style w:type="character" w:customStyle="1" w:styleId="cat-UserDefined2070561952grp-26rplc-33">
    <w:name w:val="cat-UserDefined2070561952 grp-26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UserDefined-623447462grp-25rplc-35">
    <w:name w:val="cat-UserDefined-623447462 grp-2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SumInWordsgrp-17rplc-40">
    <w:name w:val="cat-SumInWords grp-17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2rplc-42">
    <w:name w:val="cat-FIO grp-12 rplc-42"/>
    <w:basedOn w:val="DefaultParagraphFont"/>
  </w:style>
  <w:style w:type="character" w:customStyle="1" w:styleId="cat-UserDefined441301236grp-24rplc-43">
    <w:name w:val="cat-UserDefined441301236 grp-24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6rplc-46">
    <w:name w:val="cat-FIO grp-16 rplc-46"/>
    <w:basedOn w:val="DefaultParagraphFont"/>
  </w:style>
  <w:style w:type="character" w:customStyle="1" w:styleId="cat-FIOgrp-16rplc-47">
    <w:name w:val="cat-FIO grp-1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CDCEBBCF2AF7247AEE6B00D099F5F92C88A82CB456867F994221EEC3591D972E23900E1248019DfB02O" TargetMode="External" /><Relationship Id="rId11" Type="http://schemas.openxmlformats.org/officeDocument/2006/relationships/hyperlink" Target="consultantplus://offline/ref=5FCDCEBBCF2AF7247AEE6B00D099F5F92C88A82CB456867F994221EEC3591D972E23900D1542f002O" TargetMode="External" /><Relationship Id="rId12" Type="http://schemas.openxmlformats.org/officeDocument/2006/relationships/hyperlink" Target="consultantplus://offline/ref=11A22256F9D9EFF51101A148A384562AA6C6408DC2E359EB7DD693C2BC08C9A3636EFD4B615A6EB0e9Q7J" TargetMode="External" /><Relationship Id="rId13" Type="http://schemas.openxmlformats.org/officeDocument/2006/relationships/hyperlink" Target="consultantplus://offline/ref=11A22256F9D9EFF51101A148A384562AA6C6408DC2E359EB7DD693C2BC08C9A3636EFD4B615C66B3e9Q4J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4EAB3CC6AB7801EF018D982E0D92EA3F07B396995A2583820A84E48ADBB2CCB6E3EF7E47576215E" TargetMode="External" /><Relationship Id="rId5" Type="http://schemas.openxmlformats.org/officeDocument/2006/relationships/hyperlink" Target="consultantplus://offline/ref=3E4EAB3CC6AB7801EF018D982E0D92EA3F07B396995A2583820A84E48ADBB2CCB6E3EF7E4756621DE" TargetMode="External" /><Relationship Id="rId6" Type="http://schemas.openxmlformats.org/officeDocument/2006/relationships/hyperlink" Target="consultantplus://offline/ref=17F1BE5AD1D9F8F1C0365B25ABE9391ACED611E69A3822D52874B335927A33C8F0A9A2600570EFA2S226E" TargetMode="External" /><Relationship Id="rId7" Type="http://schemas.openxmlformats.org/officeDocument/2006/relationships/hyperlink" Target="consultantplus://offline/ref=52DB760F2FFD9AD5173C9C8692751FE05D45966F76E2D1DE1DC177B55D706E9001DEC96A7D96A4E9Y6cBE" TargetMode="External" /><Relationship Id="rId8" Type="http://schemas.openxmlformats.org/officeDocument/2006/relationships/hyperlink" Target="consultantplus://offline/ref=C449F2A0E5380E022B44DE46DBA8678FDEA33957FEEC573BCD71D561B5E2CE2AAA5B70F64CBB8D4B73B2F03DC027857695ABFCD82528D952h164H" TargetMode="External" /><Relationship Id="rId9" Type="http://schemas.openxmlformats.org/officeDocument/2006/relationships/hyperlink" Target="consultantplus://offline/ref=25DD162948B4ACED1BAAAE0B9C782BF289C19C37B1509021E68E5FB794C58CE13E9C10A1E4NAjF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