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E84B53">
        <w:rPr>
          <w:rFonts w:ascii="Times New Roman" w:hAnsi="Times New Roman" w:cs="Times New Roman"/>
          <w:b w:val="0"/>
          <w:bCs w:val="0"/>
          <w:i w:val="0"/>
          <w:iCs w:val="0"/>
          <w:sz w:val="26"/>
          <w:szCs w:val="26"/>
        </w:rPr>
        <w:t>6</w:t>
      </w:r>
      <w:r w:rsidR="000C5604">
        <w:rPr>
          <w:rFonts w:ascii="Times New Roman" w:hAnsi="Times New Roman" w:cs="Times New Roman"/>
          <w:b w:val="0"/>
          <w:bCs w:val="0"/>
          <w:i w:val="0"/>
          <w:iCs w:val="0"/>
          <w:sz w:val="26"/>
          <w:szCs w:val="26"/>
        </w:rPr>
        <w:t>22</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3A13D7">
        <w:rPr>
          <w:sz w:val="26"/>
          <w:szCs w:val="26"/>
        </w:rPr>
        <w:t>4</w:t>
      </w:r>
      <w:r w:rsidR="000C5604">
        <w:rPr>
          <w:sz w:val="26"/>
          <w:szCs w:val="26"/>
        </w:rPr>
        <w:t>66-36</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24</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0951A2" w:rsidRPr="00BC701E" w:rsidP="00844EE8">
      <w:pPr>
        <w:ind w:firstLine="709"/>
        <w:jc w:val="both"/>
        <w:rPr>
          <w:sz w:val="26"/>
          <w:szCs w:val="26"/>
        </w:rPr>
      </w:pPr>
      <w:r>
        <w:rPr>
          <w:sz w:val="26"/>
          <w:szCs w:val="26"/>
        </w:rPr>
        <w:t>Хадиевой</w:t>
      </w:r>
      <w:r>
        <w:rPr>
          <w:sz w:val="26"/>
          <w:szCs w:val="26"/>
        </w:rPr>
        <w:t xml:space="preserve">  Л</w:t>
      </w:r>
      <w:r w:rsidR="00820DB4">
        <w:rPr>
          <w:sz w:val="26"/>
          <w:szCs w:val="26"/>
        </w:rPr>
        <w:t>.Р.,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Хадиева</w:t>
      </w:r>
      <w:r>
        <w:rPr>
          <w:sz w:val="26"/>
          <w:szCs w:val="26"/>
        </w:rPr>
        <w:t xml:space="preserve"> Л.Р. 22.08</w:t>
      </w:r>
      <w:r w:rsidR="000951A2">
        <w:rPr>
          <w:sz w:val="26"/>
          <w:szCs w:val="26"/>
        </w:rPr>
        <w:t>.2022 года в 1</w:t>
      </w:r>
      <w:r>
        <w:rPr>
          <w:sz w:val="26"/>
          <w:szCs w:val="26"/>
        </w:rPr>
        <w:t>8</w:t>
      </w:r>
      <w:r w:rsidRPr="000F292D">
        <w:rPr>
          <w:sz w:val="26"/>
          <w:szCs w:val="26"/>
        </w:rPr>
        <w:t xml:space="preserve"> час </w:t>
      </w:r>
      <w:r>
        <w:rPr>
          <w:sz w:val="26"/>
          <w:szCs w:val="26"/>
        </w:rPr>
        <w:t>15</w:t>
      </w:r>
      <w:r w:rsidRPr="000F292D">
        <w:rPr>
          <w:sz w:val="26"/>
          <w:szCs w:val="26"/>
        </w:rPr>
        <w:t xml:space="preserve"> мин.,</w:t>
      </w:r>
      <w:r w:rsidR="00BB1655">
        <w:rPr>
          <w:sz w:val="26"/>
          <w:szCs w:val="26"/>
        </w:rPr>
        <w:t xml:space="preserve"> </w:t>
      </w:r>
      <w:r w:rsidR="00820DB4">
        <w:rPr>
          <w:sz w:val="26"/>
          <w:szCs w:val="26"/>
        </w:rPr>
        <w:t>находясь в магазине «ДАННЫЕ ИЗЪЯТЫ</w:t>
      </w:r>
      <w:r w:rsidRPr="000F292D">
        <w:rPr>
          <w:sz w:val="26"/>
          <w:szCs w:val="26"/>
        </w:rPr>
        <w:t xml:space="preserve">», расположенного по адресу: </w:t>
      </w:r>
      <w:r w:rsidR="00820DB4">
        <w:rPr>
          <w:sz w:val="26"/>
          <w:szCs w:val="26"/>
        </w:rPr>
        <w:t>ДАННЫЕ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на общую сумму 932 руб. 92 коп</w:t>
      </w:r>
      <w:r w:rsidR="00441B80">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w:t>
      </w:r>
      <w:r>
        <w:rPr>
          <w:sz w:val="26"/>
          <w:szCs w:val="26"/>
        </w:rPr>
        <w:t>и</w:t>
      </w:r>
      <w:r>
        <w:rPr>
          <w:sz w:val="26"/>
          <w:szCs w:val="26"/>
        </w:rPr>
        <w:t xml:space="preserve">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E84B53"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820DB4">
        <w:rPr>
          <w:sz w:val="26"/>
          <w:szCs w:val="26"/>
        </w:rPr>
        <w:t>ДАННЫЕ ИЗЪЯТЫ</w:t>
      </w:r>
      <w:r w:rsidRPr="000F292D">
        <w:rPr>
          <w:sz w:val="26"/>
          <w:szCs w:val="26"/>
        </w:rPr>
        <w:t xml:space="preserve"> от </w:t>
      </w:r>
      <w:r w:rsidR="00981DDC">
        <w:rPr>
          <w:sz w:val="26"/>
          <w:szCs w:val="26"/>
        </w:rPr>
        <w:t>22</w:t>
      </w:r>
      <w:r w:rsidR="00441B80">
        <w:rPr>
          <w:sz w:val="26"/>
          <w:szCs w:val="26"/>
        </w:rPr>
        <w:t>.08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820DB4">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sidR="00981DDC">
        <w:rPr>
          <w:sz w:val="26"/>
          <w:szCs w:val="26"/>
        </w:rPr>
        <w:t>932</w:t>
      </w:r>
      <w:r>
        <w:rPr>
          <w:sz w:val="26"/>
          <w:szCs w:val="26"/>
        </w:rPr>
        <w:t xml:space="preserve"> руб. </w:t>
      </w:r>
      <w:r w:rsidR="00981DDC">
        <w:rPr>
          <w:sz w:val="26"/>
          <w:szCs w:val="26"/>
        </w:rPr>
        <w:t>9</w:t>
      </w:r>
      <w:r>
        <w:rPr>
          <w:sz w:val="26"/>
          <w:szCs w:val="26"/>
        </w:rPr>
        <w:t>2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981DDC">
        <w:rPr>
          <w:sz w:val="26"/>
          <w:szCs w:val="26"/>
        </w:rPr>
        <w:t>Хадиева</w:t>
      </w:r>
      <w:r w:rsidR="00981DDC">
        <w:rPr>
          <w:sz w:val="26"/>
          <w:szCs w:val="26"/>
        </w:rPr>
        <w:t xml:space="preserve"> Л.Р.</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Хадиеву</w:t>
      </w:r>
      <w:r>
        <w:rPr>
          <w:sz w:val="26"/>
          <w:szCs w:val="26"/>
        </w:rPr>
        <w:t xml:space="preserve">  Л</w:t>
      </w:r>
      <w:r w:rsidR="00820DB4">
        <w:rPr>
          <w:sz w:val="26"/>
          <w:szCs w:val="26"/>
        </w:rPr>
        <w:t xml:space="preserve">.Р.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00E84B53">
        <w:rPr>
          <w:sz w:val="26"/>
          <w:szCs w:val="26"/>
        </w:rPr>
        <w:t>1</w:t>
      </w:r>
      <w:r>
        <w:rPr>
          <w:sz w:val="26"/>
          <w:szCs w:val="26"/>
        </w:rPr>
        <w:t>5</w:t>
      </w:r>
      <w:r w:rsidRPr="000F292D">
        <w:rPr>
          <w:sz w:val="26"/>
          <w:szCs w:val="26"/>
        </w:rPr>
        <w:t>00 (</w:t>
      </w:r>
      <w:r w:rsidR="00E84B53">
        <w:rPr>
          <w:sz w:val="26"/>
          <w:szCs w:val="26"/>
        </w:rPr>
        <w:t>одна тысяча</w:t>
      </w:r>
      <w:r>
        <w:rPr>
          <w:sz w:val="26"/>
          <w:szCs w:val="26"/>
        </w:rPr>
        <w:t xml:space="preserve"> пятьсот</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0F292D" w:rsidP="00E84B53">
      <w:pPr>
        <w:ind w:left="-142" w:right="424" w:firstLine="709"/>
        <w:jc w:val="both"/>
        <w:rPr>
          <w:sz w:val="24"/>
          <w:szCs w:val="24"/>
        </w:rPr>
      </w:pPr>
      <w:r w:rsidRPr="00C203AC">
        <w:rPr>
          <w:sz w:val="22"/>
          <w:szCs w:val="22"/>
        </w:rPr>
        <w:t xml:space="preserve">Реквизиты для уплаты штрафа: </w:t>
      </w:r>
      <w:r w:rsidR="00820DB4">
        <w:rPr>
          <w:sz w:val="22"/>
          <w:szCs w:val="22"/>
        </w:rPr>
        <w:t>ДАННЫЕ ИЗЪЯТЫ</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5604"/>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0E2"/>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27FB"/>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0DB4"/>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1DDC"/>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852A3"/>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A6904"/>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84B53"/>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