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37F" w:rsidP="007643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№5-27</w:t>
      </w:r>
      <w:r w:rsidR="0035031D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76437F" w:rsidP="0076437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16мs0134-01-2022-00078</w:t>
      </w:r>
      <w:r w:rsidR="003503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031D">
        <w:rPr>
          <w:rFonts w:ascii="Times New Roman" w:hAnsi="Times New Roman" w:cs="Times New Roman"/>
          <w:sz w:val="28"/>
          <w:szCs w:val="28"/>
        </w:rPr>
        <w:t>27</w:t>
      </w:r>
    </w:p>
    <w:p w:rsidR="0076437F" w:rsidP="00764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6437F" w:rsidP="0076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6437F" w:rsidP="0076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6437F" w:rsidP="0076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63B0" w:rsidP="00EE6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45D78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Чистопольскому </w:t>
      </w:r>
      <w:r w:rsidRPr="00745D78">
        <w:rPr>
          <w:rFonts w:ascii="Times New Roman" w:hAnsi="Times New Roman" w:cs="Times New Roman"/>
          <w:sz w:val="28"/>
          <w:szCs w:val="28"/>
        </w:rPr>
        <w:t>судебному району Республики Татарстан – мировой судья судебного участка № 3 по Чистопольскому судебному району Республики Татарстан И.А. Тухфатуллин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 рассмотрев материалы дела об административном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Гатина</w:t>
      </w:r>
      <w:r>
        <w:rPr>
          <w:rFonts w:ascii="Times New Roman" w:hAnsi="Times New Roman"/>
          <w:sz w:val="27"/>
          <w:szCs w:val="27"/>
        </w:rPr>
        <w:t xml:space="preserve"> А.</w:t>
      </w:r>
      <w:r>
        <w:rPr>
          <w:rFonts w:ascii="Times New Roman" w:hAnsi="Times New Roman"/>
          <w:sz w:val="27"/>
          <w:szCs w:val="27"/>
        </w:rPr>
        <w:t>М.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95B9A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9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>Гатин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B95B9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B95B9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две бутылки водки «Старая Казань» </w:t>
      </w:r>
      <w:r w:rsidR="00EE63B0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стоимостью 391,86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B95B9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EE63B0" w:rsidP="00E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А.Р. Бакирова в суд не явилась, в материалах дела от неё имеется ходатайство о рассмотрении дела без её участия.  </w:t>
      </w:r>
    </w:p>
    <w:p w:rsidR="00EE63B0" w:rsidP="00EE63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Гатин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вернул похищенное.</w:t>
      </w: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вина подтверждается, рапортом А.З.</w:t>
      </w:r>
      <w:r>
        <w:rPr>
          <w:rFonts w:ascii="Times New Roman" w:hAnsi="Times New Roman" w:cs="Times New Roman"/>
          <w:sz w:val="28"/>
          <w:szCs w:val="28"/>
        </w:rPr>
        <w:t>,  заявлением, объяснением А.Р.</w:t>
      </w:r>
      <w:r>
        <w:rPr>
          <w:rFonts w:ascii="Times New Roman" w:hAnsi="Times New Roman" w:cs="Times New Roman"/>
          <w:sz w:val="28"/>
          <w:szCs w:val="28"/>
        </w:rPr>
        <w:t xml:space="preserve">, накладной </w:t>
      </w:r>
      <w:r w:rsidRPr="00B95B9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 и другими материалами дела.</w:t>
      </w:r>
    </w:p>
    <w:p w:rsidR="0076437F" w:rsidP="00764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</w:t>
      </w:r>
      <w:r>
        <w:rPr>
          <w:rFonts w:ascii="Times New Roman" w:hAnsi="Times New Roman" w:cs="Times New Roman"/>
          <w:sz w:val="28"/>
          <w:szCs w:val="28"/>
        </w:rPr>
        <w:t>.11 КоАП РФ, суд приходит к выводу о доказанности события и состава административного правонарушения.</w:t>
      </w:r>
    </w:p>
    <w:p w:rsidR="0076437F" w:rsidP="0076437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А.М. Гатин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 xml:space="preserve">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35031D" w:rsidRPr="006C06E7" w:rsidP="00350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</w:t>
      </w:r>
      <w:r>
        <w:rPr>
          <w:rFonts w:ascii="Times New Roman" w:hAnsi="Times New Roman" w:cs="Times New Roman"/>
          <w:sz w:val="28"/>
          <w:szCs w:val="28"/>
        </w:rPr>
        <w:t>ость, - признание вины, раскаяние, состояние здоровья А.М. Гатина и его близких родственников, наличие на иждивении малолетнего ребенка;</w:t>
      </w:r>
      <w:r w:rsidRPr="00BB769E">
        <w:rPr>
          <w:rFonts w:ascii="Times New Roman" w:hAnsi="Times New Roman"/>
          <w:sz w:val="28"/>
          <w:szCs w:val="28"/>
        </w:rPr>
        <w:t xml:space="preserve"> </w:t>
      </w:r>
      <w:r w:rsidRPr="006C06E7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</w:t>
      </w:r>
      <w:r w:rsidRPr="006C06E7">
        <w:rPr>
          <w:rFonts w:ascii="Times New Roman" w:hAnsi="Times New Roman"/>
          <w:sz w:val="28"/>
          <w:szCs w:val="28"/>
        </w:rPr>
        <w:t>ивного правонарушения.</w:t>
      </w:r>
    </w:p>
    <w:p w:rsidR="0035031D" w:rsidRPr="00D8405A" w:rsidP="00350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0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840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840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40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</w:t>
      </w:r>
      <w:r w:rsidRPr="00D8405A">
        <w:rPr>
          <w:rFonts w:ascii="Times New Roman" w:eastAsia="Calibri" w:hAnsi="Times New Roman" w:cs="Times New Roman"/>
          <w:sz w:val="28"/>
          <w:szCs w:val="28"/>
          <w:lang w:eastAsia="en-US"/>
        </w:rPr>
        <w:t>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6437F" w:rsidP="007643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76437F" w:rsidP="0076437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37F" w:rsidP="0076437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6437F" w:rsidP="0076437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031D" w:rsidP="0035031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Гатина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35031D" w:rsidP="003503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>
        <w:rPr>
          <w:rFonts w:ascii="Times New Roman" w:hAnsi="Times New Roman" w:cs="Times New Roman"/>
          <w:sz w:val="28"/>
          <w:szCs w:val="28"/>
        </w:rPr>
        <w:t>исчислять с 20  часа 00 минут 11  мая  2022  года.</w:t>
      </w:r>
    </w:p>
    <w:p w:rsidR="0035031D" w:rsidP="003503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подпись                         И.А. Тухфатуллин</w:t>
      </w: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76437F" w:rsidP="00764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76437F" w:rsidP="0076437F"/>
    <w:p w:rsidR="0076437F" w:rsidP="0076437F"/>
    <w:p w:rsidR="0076437F" w:rsidP="0076437F"/>
    <w:p w:rsidR="00F166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75"/>
    <w:rsid w:val="0035031D"/>
    <w:rsid w:val="006C06E7"/>
    <w:rsid w:val="00745D78"/>
    <w:rsid w:val="0076437F"/>
    <w:rsid w:val="007E10B4"/>
    <w:rsid w:val="00B13F75"/>
    <w:rsid w:val="00B95B9A"/>
    <w:rsid w:val="00BB769E"/>
    <w:rsid w:val="00D8405A"/>
    <w:rsid w:val="00EE63B0"/>
    <w:rsid w:val="00F16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7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37F"/>
    <w:rPr>
      <w:color w:val="0000FF"/>
      <w:u w:val="single"/>
    </w:rPr>
  </w:style>
  <w:style w:type="paragraph" w:customStyle="1" w:styleId="ConsNormal">
    <w:name w:val="ConsNormal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