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-183/5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ст.7.27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895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10rplc-6"/>
          <w:rFonts w:ascii="Times New Roman" w:eastAsia="Times New Roman" w:hAnsi="Times New Roman" w:cs="Times New Roman"/>
          <w:sz w:val="28"/>
          <w:szCs w:val="28"/>
        </w:rPr>
        <w:t>Корнева А.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в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Корнев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Карат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Корабельная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замок врезной </w:t>
      </w:r>
      <w:r>
        <w:rPr>
          <w:rFonts w:ascii="Times New Roman" w:eastAsia="Times New Roman" w:hAnsi="Times New Roman" w:cs="Times New Roman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7000-30-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464,08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Корнев А.М. в судебном заседании вину признал, пояснил, что является клептоманом, замок ему не был нужен, не справился с собой</w:t>
      </w:r>
      <w:r>
        <w:rPr>
          <w:rFonts w:ascii="Times New Roman" w:eastAsia="Times New Roman" w:hAnsi="Times New Roman" w:cs="Times New Roman"/>
          <w:sz w:val="28"/>
          <w:szCs w:val="28"/>
        </w:rPr>
        <w:t>, также был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Корнев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Корнев А.М.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мужчина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замок врезной </w:t>
      </w:r>
      <w:r>
        <w:rPr>
          <w:rFonts w:ascii="Times New Roman" w:eastAsia="Times New Roman" w:hAnsi="Times New Roman" w:cs="Times New Roman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7000-30-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1 стоимостью 464,08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пронеся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изъятия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Корнева А.М. замка врезного </w:t>
      </w:r>
      <w:r>
        <w:rPr>
          <w:rFonts w:ascii="Times New Roman" w:eastAsia="Times New Roman" w:hAnsi="Times New Roman" w:cs="Times New Roman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7000-30-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Корневым А.М.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возврате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Корнева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</w:t>
      </w:r>
      <w:r>
        <w:rPr>
          <w:rFonts w:ascii="Times New Roman" w:eastAsia="Times New Roman" w:hAnsi="Times New Roman" w:cs="Times New Roman"/>
          <w:sz w:val="28"/>
          <w:szCs w:val="28"/>
        </w:rPr>
        <w:t>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внимании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Корнева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33"/>
          <w:rFonts w:ascii="Times New Roman" w:eastAsia="Times New Roman" w:hAnsi="Times New Roman" w:cs="Times New Roman"/>
          <w:sz w:val="28"/>
          <w:szCs w:val="28"/>
        </w:rPr>
        <w:t>Корнева А.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27266321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НБ Республика Татарстан Банка России//УФК по Республике Татарстан г. Казань/ Управление Федерального казначейства по Республике Татарстан, КБК 73111601073010027140, по протоколу УМВД России по Нижнекамском району административный штраф по судебному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>№5-183/5/2022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6">
    <w:name w:val="cat-FIO grp-1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0rplc-33">
    <w:name w:val="cat-FIO grp-1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