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4"/>
          <w:rFonts w:ascii="Times New Roman" w:eastAsia="Times New Roman" w:hAnsi="Times New Roman" w:cs="Times New Roman"/>
          <w:sz w:val="28"/>
          <w:szCs w:val="28"/>
        </w:rPr>
        <w:t>Обшарова Э. 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неработающего, инвалидности не имеющего, со слов болеющего сахарным диабетом, </w:t>
      </w:r>
    </w:p>
    <w:p>
      <w:pPr>
        <w:spacing w:before="0" w:after="0"/>
        <w:ind w:right="283" w:firstLine="426"/>
        <w:jc w:val="both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Обшаров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либо пребывания с 22:00 до 06:00 утра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Нижнекамского городского суда РТ от 23.09.2021,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 дополнительное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ограничение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запрета пребывания вне жилого помещения, являющего его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либо пребывания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:00 до 06:00 утра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 административное правонарушение повторно в течение года при отсутствии признаков уголовно наказуемого деяния.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Обшаров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, поясн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</w:t>
      </w:r>
      <w:r>
        <w:rPr>
          <w:rFonts w:ascii="Times New Roman" w:eastAsia="Times New Roman" w:hAnsi="Times New Roman" w:cs="Times New Roman"/>
          <w:sz w:val="28"/>
          <w:szCs w:val="28"/>
        </w:rPr>
        <w:t>, т.к</w:t>
      </w:r>
      <w:r>
        <w:rPr>
          <w:rFonts w:ascii="Times New Roman" w:eastAsia="Times New Roman" w:hAnsi="Times New Roman" w:cs="Times New Roman"/>
          <w:sz w:val="28"/>
          <w:szCs w:val="28"/>
        </w:rPr>
        <w:t>. находился по другому адресу, так как 24.02.2022 получил телесные повреждения в виде перелома ребер.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Обшаров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2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25.02.2022 в 23:57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месса жительства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ул. Баки Урманче, д29, кв.332 ее сын дома не находился, где он мог находиться, ей неизвестно, так как об этом он ей не сообщал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родского суда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являющегося местом жительства либо пребывания с 22:00 до 06:00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РТ от 23.09.2021,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дополнительное административное ограничение,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запрета пребывания вне жилого помещения, являющего его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либо пребывания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:00 до 06:00 утра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№3512175 от 24.07.2021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казания в виде административного штрафа, вступившим в законную силу 04.08.2021;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Признаки уголовно-наказуемого деяния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 проверки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по другому адресу, ввиду того что 24.02.2022 получил телесные повреждения – перелом ребер</w:t>
      </w:r>
      <w:r>
        <w:rPr>
          <w:rFonts w:ascii="Times New Roman" w:eastAsia="Times New Roman" w:hAnsi="Times New Roman" w:cs="Times New Roman"/>
          <w:sz w:val="28"/>
          <w:szCs w:val="28"/>
        </w:rPr>
        <w:t>, суд находит несостоятельным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подтверждающих тому медицинских документов суду не представлено. Кроме того, суд считает, что наличие указанного повреждения не лишало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 возможности вернуться по месту своего жительства с целью недопущения нарушения установленных судом ограничений, либо обратиться в медицинское учреждение за помощью.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Обшарова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лицом, в отношении которого установлен административный надзор,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Кодекса Российской Федерации об административных правонарушениях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ст.4.3 Кодекса Российской Федерации об административных правонарушениях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по делу, и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1rplc-50"/>
          <w:rFonts w:ascii="Times New Roman" w:eastAsia="Times New Roman" w:hAnsi="Times New Roman" w:cs="Times New Roman"/>
          <w:sz w:val="28"/>
          <w:szCs w:val="28"/>
        </w:rPr>
        <w:t>Обшарова Э.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Мифтахов М.М.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1rplc-4">
    <w:name w:val="cat-FIO grp-21 rplc-4"/>
    <w:basedOn w:val="DefaultParagraphFont"/>
  </w:style>
  <w:style w:type="character" w:customStyle="1" w:styleId="cat-ExternalSystemDefinedgrp-33rplc-5">
    <w:name w:val="cat-ExternalSystemDefined grp-33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UserDefinedgrp-34rplc-54">
    <w:name w:val="cat-UserDefined grp-3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