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18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 удара кулаком в область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его матерью</w:t>
      </w:r>
      <w:r>
        <w:rPr>
          <w:rFonts w:ascii="Times New Roman" w:eastAsia="Times New Roman" w:hAnsi="Times New Roman" w:cs="Times New Roman"/>
          <w:sz w:val="28"/>
          <w:szCs w:val="28"/>
        </w:rPr>
        <w:t>, они вместе выпивали алкогольные напитки, в ходе ссоры он дал ей пощечину.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судебного заседания,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7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Нижнекамскому району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постановлением об отказе в возбуждении уголовного дела от 24 мая 2022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2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«02» в 08 часов 01 минуту 7 апреля 2022 г. о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избил сожитель;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объяснениями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сына </w:t>
      </w:r>
      <w:r>
        <w:rPr>
          <w:rStyle w:val="cat-FIOgrp-2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14 мая 2022 г. в 18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квартире 97 дома 9 </w:t>
      </w:r>
      <w:r>
        <w:rPr>
          <w:rStyle w:val="cat-Addressgrp-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ей два удара кулаком в область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>отчего она ощутила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903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из которого следует, что у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 ушиб мягких тканей лица </w:t>
      </w:r>
      <w:r>
        <w:rPr>
          <w:rFonts w:ascii="Times New Roman" w:eastAsia="Times New Roman" w:hAnsi="Times New Roman" w:cs="Times New Roman"/>
          <w:sz w:val="28"/>
          <w:szCs w:val="28"/>
        </w:rPr>
        <w:t>справа в виде припухлости мягких тканей и кровоподтеков. Данная травма, судя по морфологическим свойствам, образовалась в результате не менее 2–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ударных, ударно-сдавливающих воздействий твердых тупых предметов, в пределах не более трех суток до момента осмотра, возможно в ситуации и в срок, указанный в постановлении. Данные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п.9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Минсоцздравразвития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№194н от 24.04.2008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влекут за собой кратковременного расстройства здоровья и </w:t>
      </w:r>
      <w:r>
        <w:rPr>
          <w:rFonts w:ascii="Times New Roman" w:eastAsia="Times New Roman" w:hAnsi="Times New Roman" w:cs="Times New Roman"/>
          <w:sz w:val="28"/>
          <w:szCs w:val="28"/>
        </w:rPr>
        <w:t>расцениваются как не причинившие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2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Style w:val="cat-FIOgrp-21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неоднократно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административный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ст.6.1.1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17 часов 30 минут </w:t>
      </w: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20rplc-25">
    <w:name w:val="cat-FIO grp-20 rplc-25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16rplc-39">
    <w:name w:val="cat-FIO grp-1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