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ст.12.7 ч.2 Кодекса Российской Федерации об административных правонарушениях в отношении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20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слесарем в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Нижнекамске,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Форд Фокус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96360206grp-26rplc-1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нарушив п.2.1.1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мая 2022 года № 16 РТ 01774201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к административной ответственности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>чтатьи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мировой судья считает признание вины, наличие малолетних детей на иждивении.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мировым судьей признается повторное совершение административного правонарушения.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ответственности, общественную значимость содеянного, считает необходимым назначить административный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ст.12.7 ч.2, 23.1, 29.9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9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9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 платежа: УФК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(УГИБДД МВД по РТ), Банк ГРКЦ НБ Республики Татарстан Банка России г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03100643000000011100, ИНН 1654002946, КПП 165945001, ОКТМО 92644000, БИК 019205400,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18810416</w:t>
      </w:r>
      <w:r>
        <w:rPr>
          <w:rFonts w:ascii="Times New Roman" w:eastAsia="Times New Roman" w:hAnsi="Times New Roman" w:cs="Times New Roman"/>
          <w:sz w:val="28"/>
          <w:szCs w:val="28"/>
        </w:rPr>
        <w:t>222060015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19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соответствии со статьей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right="19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5">
    <w:name w:val="cat-FIO grp-1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PhoneNumbergrp-20rplc-7">
    <w:name w:val="cat-PhoneNumber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96360206grp-26rplc-15">
    <w:name w:val="cat-UserDefined96360206 grp-2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