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 232</w:t>
      </w:r>
      <w:r>
        <w:rPr>
          <w:rFonts w:ascii="Times New Roman" w:eastAsia="Times New Roman" w:hAnsi="Times New Roman" w:cs="Times New Roman"/>
          <w:sz w:val="26"/>
          <w:szCs w:val="26"/>
        </w:rPr>
        <w:t>/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/202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</w:p>
    <w:p>
      <w:pPr>
        <w:widowControl w:val="0"/>
        <w:spacing w:before="0" w:after="0"/>
        <w:ind w:firstLine="54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widowControl w:val="0"/>
        <w:spacing w:before="0" w:after="0"/>
        <w:ind w:firstLine="540"/>
        <w:jc w:val="both"/>
        <w:rPr>
          <w:sz w:val="26"/>
          <w:szCs w:val="26"/>
        </w:rPr>
      </w:pPr>
    </w:p>
    <w:p>
      <w:pPr>
        <w:widowControl w:val="0"/>
        <w:spacing w:before="0" w:after="0"/>
        <w:ind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15 июня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>2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Addressgrp-0rplc-1"/>
          <w:rFonts w:ascii="Times New Roman" w:eastAsia="Times New Roman" w:hAnsi="Times New Roman" w:cs="Times New Roman"/>
          <w:sz w:val="26"/>
          <w:szCs w:val="26"/>
        </w:rPr>
        <w:t>адрес</w:t>
      </w:r>
    </w:p>
    <w:p>
      <w:pPr>
        <w:widowControl w:val="0"/>
        <w:spacing w:before="0" w:after="0"/>
        <w:ind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widowControl w:val="0"/>
        <w:spacing w:before="0" w:after="0"/>
        <w:ind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Нижнекамскому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судебному району Республики Татарстан </w:t>
      </w:r>
      <w:r>
        <w:rPr>
          <w:rFonts w:ascii="Times New Roman" w:eastAsia="Times New Roman" w:hAnsi="Times New Roman" w:cs="Times New Roman"/>
          <w:sz w:val="26"/>
          <w:szCs w:val="26"/>
        </w:rPr>
        <w:t>Хайбуллина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Л.Х.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мирового судьи судебного участка № 4 по Нижнекамскому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судебному району Республики Татарстан,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рассмотрев дело об административном правонарушении, предусмотренном ст. 15.15.15 Кодекса РФ об административных правонарушениях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отношении </w:t>
      </w:r>
      <w:r>
        <w:rPr>
          <w:rStyle w:val="cat-FIOgrp-22rplc-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PassportDatagrp-30rplc-6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 зарегистрированной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 </w:t>
      </w:r>
      <w:r>
        <w:rPr>
          <w:rFonts w:ascii="Times New Roman" w:eastAsia="Times New Roman" w:hAnsi="Times New Roman" w:cs="Times New Roman"/>
          <w:sz w:val="26"/>
          <w:szCs w:val="26"/>
        </w:rPr>
        <w:t>проживающей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адресу: </w:t>
      </w:r>
      <w:r>
        <w:rPr>
          <w:rStyle w:val="cat-Addressgrp-3rplc-7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работающей в МБУ «Центр содействия молодежи </w:t>
      </w:r>
      <w:r>
        <w:rPr>
          <w:rStyle w:val="cat-Addressgrp-2rplc-8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Республики Татарстан» главным бухгалтером, состоящей в зарегистрированном браке, имеющей на иждивении двоих несовершеннолетних детей,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ранее к административной ответственности не привлекавшейся, </w:t>
      </w:r>
    </w:p>
    <w:p>
      <w:pPr>
        <w:widowControl w:val="0"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widowControl w:val="0"/>
        <w:spacing w:before="0" w:after="0"/>
        <w:jc w:val="center"/>
        <w:rPr>
          <w:sz w:val="26"/>
          <w:szCs w:val="26"/>
        </w:rPr>
      </w:pPr>
    </w:p>
    <w:p>
      <w:pPr>
        <w:widowControl w:val="0"/>
        <w:spacing w:before="0" w:after="0"/>
        <w:ind w:firstLine="53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производство мирового судьи поступил материал об административном правонарушении в </w:t>
      </w:r>
      <w:r>
        <w:rPr>
          <w:rFonts w:ascii="Times New Roman" w:eastAsia="Times New Roman" w:hAnsi="Times New Roman" w:cs="Times New Roman"/>
          <w:sz w:val="26"/>
          <w:szCs w:val="26"/>
        </w:rPr>
        <w:t>соответствии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 которым, </w:t>
      </w:r>
      <w:r>
        <w:rPr>
          <w:rStyle w:val="cat-FIOgrp-24rplc-10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занимая должность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главного бухгалтера муниципального бюджетного </w:t>
      </w:r>
      <w:r>
        <w:rPr>
          <w:rStyle w:val="cat-OrganizationNamegrp-31rplc-11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расположенного по адресу: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Addressgrp-6rplc-1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не обеспечила в соответствии с требованиями Порядка формирования муниципального задания на оказание муниципальных услуг (выполнение работ) в отношении муниципальных учреждений города Нижнекамска и финансового обеспечения выполнения муниципального задания, утвержденного Постановлением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Исполнительного комитета г</w:t>
      </w:r>
      <w:r>
        <w:rPr>
          <w:rFonts w:ascii="Times New Roman" w:eastAsia="Times New Roman" w:hAnsi="Times New Roman" w:cs="Times New Roman"/>
          <w:sz w:val="26"/>
          <w:szCs w:val="26"/>
        </w:rPr>
        <w:t>.Н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ижнекамска от 20 марта 2017 года № 41 «О порядке формирования муниципального задания на оказание муниципальных услуг (выполнение работ) в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отношении муниципальных учреждений города Нижнекамска и финансового обеспечения выполнения муниципального задания», расчет размеров нормативных затрат на оказание муниципальных работ (услуг) муниципального бюджетного </w:t>
      </w:r>
      <w:r>
        <w:rPr>
          <w:rStyle w:val="cat-OrganizationNamegrp-32rplc-17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 2021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год, возложенным указанным Постановлением № 41 на Управление по делам молодежи Исполнительного комитета </w:t>
      </w:r>
      <w:r>
        <w:rPr>
          <w:rStyle w:val="cat-Addressgrp-2rplc-19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Республики Татарстан.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</w:p>
    <w:p>
      <w:pPr>
        <w:widowControl w:val="0"/>
        <w:spacing w:before="0" w:after="0"/>
        <w:ind w:firstLine="53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Представитель МКУ «Контрольно-счетная палата муниципального образования </w:t>
      </w:r>
      <w:r>
        <w:rPr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Республики Татарстан» </w:t>
      </w:r>
      <w:r>
        <w:rPr>
          <w:rStyle w:val="cat-FIOgrp-25rplc-22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судебно</w:t>
      </w: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заседани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пояснила, что </w:t>
      </w:r>
      <w:r>
        <w:rPr>
          <w:rStyle w:val="cat-FIOgrp-24rplc-23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являясь главным бухгалтером МБУ «Центр содействия молодежи </w:t>
      </w:r>
      <w:r>
        <w:rPr>
          <w:rStyle w:val="cat-Addressgrp-2rplc-2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Республики Татарстан» не обеспечила расчет нормативных затрат на оказание муниципальных работ (услуг) муниципального бюджетного </w:t>
      </w:r>
      <w:r>
        <w:rPr>
          <w:rStyle w:val="cat-OrganizationNamegrp-32rplc-26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 2021 год на единицу объема работы.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Нормативные затраты на выполнение работ Учреждением утверждены Постановлением Исполнительного комитета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города Нижнекамска от 21.12.2020 года № 294 «Об утверждении нормативных затрат на предоставление муниципальной услуги (работы) молодежной политики города Нижнекамска на 2021 год». Порядок формирования муниципального задания установлен Постановлением </w:t>
      </w:r>
      <w:r>
        <w:rPr>
          <w:rFonts w:ascii="Times New Roman" w:eastAsia="Times New Roman" w:hAnsi="Times New Roman" w:cs="Times New Roman"/>
          <w:sz w:val="26"/>
          <w:szCs w:val="26"/>
        </w:rPr>
        <w:t>Исполнительного комитета города Нижнекамска Республики Татарстан от 20.03.2017 года № 41 «О порядке формирования муниципального задания на оказание муниципальных услуг в отношении муниципальных учреждений города Нижнекамск и финансового обеспечения выполнения муниципального задания». Муниципальным заданием Учреждения на 2021 год объем работы составляет 32 мероприятия. При этом, фактически нормативные затраты для Учреждения утверждены на выполнение работы в целом.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Количество мероприятий, указанных в представленном расчете нормативных затрат Учреждения (26 мероприятия) соответствует количеству мероприятий</w:t>
      </w:r>
      <w:r>
        <w:rPr>
          <w:rFonts w:ascii="Times New Roman" w:eastAsia="Times New Roman" w:hAnsi="Times New Roman" w:cs="Times New Roman"/>
          <w:sz w:val="26"/>
          <w:szCs w:val="26"/>
        </w:rPr>
        <w:t>, указанных в перспективном плане работы по реализации молодежной политики на 2021 год, однако не соответствует объему мероприятий по муниципальному заданию (32 мероприятия)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Не был осуществлен расчет на количество работ, определенных муниципальным заданием, нарушен порядок.</w:t>
      </w:r>
    </w:p>
    <w:p>
      <w:pPr>
        <w:widowControl w:val="0"/>
        <w:spacing w:before="0" w:after="0"/>
        <w:ind w:firstLine="539"/>
        <w:jc w:val="both"/>
        <w:rPr>
          <w:sz w:val="26"/>
          <w:szCs w:val="26"/>
        </w:rPr>
      </w:pPr>
      <w:r>
        <w:rPr>
          <w:rStyle w:val="cat-FIOgrp-24rplc-34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судебном заседании вину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признала, пояснив, что </w:t>
      </w:r>
      <w:r>
        <w:rPr>
          <w:rFonts w:ascii="Times New Roman" w:eastAsia="Times New Roman" w:hAnsi="Times New Roman" w:cs="Times New Roman"/>
          <w:sz w:val="26"/>
          <w:szCs w:val="26"/>
        </w:rPr>
        <w:t>нормативные затраты не утверждаются постановлением Республики Татарстан. 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Учреждение определена конкретная сумма. Постановлением Исполнительного комитета города Нижнекамска Республики Татарстан от 20.03.2017 года № 41 «О порядке формирования муниципального задания на оказание муниципальных услуг в отношении муниципальных учреждений города Нижнекамск и финансового обеспечения выполнения муниципального задания»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указан какой перечень затрат, сумма уже определена. В постановлении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Исполнительного комитета города Нижнекамска от 21.12.2020 года № 294 «Об утверждении нормативных затрат на предоставление муниципальной услуги (работы) молодежной политики города Нижнекамска на 2021 год» утверждены нормативные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затраты на предоставление муниципальной услуги учреждениями молодежной политики города Нижнекамск Республики Татарстан на 2021 год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обозначен общий объем финансирования данного Учреждения. Сумма не занижена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Муниципальное задание утвердили 11.01.2021 года, цифры оказались неизменными. Изменился бы только внутренний документ, но сумма содержания Учреждения не изменилась.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Нормативные затраты были утверждены и рассчитаны на количество мероприятий, утвержденных перспективным планом работы Учреждения, а муниципальное задание было утверждено на большее количество мероприятий.</w:t>
      </w:r>
    </w:p>
    <w:p>
      <w:pPr>
        <w:widowControl w:val="0"/>
        <w:spacing w:before="0" w:after="0"/>
        <w:ind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Выслушав </w:t>
      </w:r>
      <w:r>
        <w:rPr>
          <w:rStyle w:val="cat-FIOgrp-25rplc-4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24rplc-47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исследовав материалы </w:t>
      </w:r>
      <w:r>
        <w:rPr>
          <w:rFonts w:ascii="Times New Roman" w:eastAsia="Times New Roman" w:hAnsi="Times New Roman" w:cs="Times New Roman"/>
          <w:sz w:val="26"/>
          <w:szCs w:val="26"/>
        </w:rPr>
        <w:t>дела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мировой судья приходит к выводу, что в действиях </w:t>
      </w:r>
      <w:r>
        <w:rPr>
          <w:rStyle w:val="cat-FIOgrp-24rplc-48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содержится состав административного правонарушения, предусмотренного ст. 15.15.15 КоАП РФ.</w:t>
      </w:r>
    </w:p>
    <w:p>
      <w:pPr>
        <w:widowControl w:val="0"/>
        <w:spacing w:before="0" w:after="0"/>
        <w:ind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со ст. 15.15.15 КоАП РФ - нарушение порядка формирования и (или) финансового обеспечения выполнения государственного (муниципального) задания, за исключением случаев, предусмотренных статьей 15.14 указанного Кодекса, влечет наложение административного штрафа на должностных лиц в размере от десяти тысяч до тридцати тысяч рублей.</w:t>
      </w:r>
    </w:p>
    <w:p>
      <w:pPr>
        <w:widowControl w:val="0"/>
        <w:spacing w:before="0" w:after="0"/>
        <w:ind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Объектом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 правонарушения, предусмотренного 15.15.15 КоАП РФ выступают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финансовые интересы государства, установленный порядок формирования государственного (муниципального) задания.</w:t>
      </w:r>
    </w:p>
    <w:p>
      <w:pPr>
        <w:widowControl w:val="0"/>
        <w:spacing w:before="0" w:after="0"/>
        <w:ind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Объективная сторона состава административного правонарушения, предусмотренного 15.15.15 КоАП РФ, заключается в действие или бездействие, </w:t>
      </w:r>
      <w:r>
        <w:rPr>
          <w:rFonts w:ascii="Times New Roman" w:eastAsia="Times New Roman" w:hAnsi="Times New Roman" w:cs="Times New Roman"/>
          <w:sz w:val="26"/>
          <w:szCs w:val="26"/>
        </w:rPr>
        <w:t>которое заключается в нарушении порядка формирования и (или) финансового обеспечения выполнения государственного (муниципального) задания.</w:t>
      </w:r>
    </w:p>
    <w:p>
      <w:pPr>
        <w:widowControl w:val="0"/>
        <w:spacing w:before="0" w:after="0"/>
        <w:ind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Государственное (муниципальное) задание - это документ, устанавливающий требования к составу, качеству и (или) объему (содержанию), условиям, порядку и результатам оказания государственных (муниципальных) услуг (выполнения работ) (ст. 6 Бюджетного кодекса РФ).</w:t>
      </w:r>
    </w:p>
    <w:p>
      <w:pPr>
        <w:widowControl w:val="0"/>
        <w:spacing w:before="0" w:after="0"/>
        <w:ind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частью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статьи 69.2 Бюджетного кодекса Российской Федерации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>орядки формирования государственного (муниципального) задания и финансового обеспечения выполнения государственного (муниципального) задания, устанавливаемые в соответствии с пунктами 3 и 4 настоящей статьи, должны определять в том числе:</w:t>
      </w:r>
    </w:p>
    <w:p>
      <w:pPr>
        <w:widowControl w:val="0"/>
        <w:spacing w:before="0" w:after="0"/>
        <w:ind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1) правила и сроки формирования, изменения, утверждения государственного (муниципального) задания, отчета о его выполнении;</w:t>
      </w:r>
    </w:p>
    <w:p>
      <w:pPr>
        <w:widowControl w:val="0"/>
        <w:spacing w:before="0" w:after="0"/>
        <w:ind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2) правила и сроки определения объема финансового обеспечения выполнения государственного (муниципального) задания, включая:</w:t>
      </w:r>
    </w:p>
    <w:p>
      <w:pPr>
        <w:widowControl w:val="0"/>
        <w:spacing w:before="0" w:after="0"/>
        <w:ind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расчет и утверждение нормативных затрат на оказание государственных (муниципальных) услуг на основе базовых нормативов затрат на оказание государственных (муниципальных) услуг и корректирующих коэффициентов к ним, а также нормативных затрат на выполнение работ;</w:t>
      </w:r>
    </w:p>
    <w:p>
      <w:pPr>
        <w:widowControl w:val="0"/>
        <w:spacing w:before="0" w:after="0"/>
        <w:ind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сроки и объемы перечисления субсидии на финансовое обеспечение выполнения государственного (муниципального) задания;</w:t>
      </w:r>
    </w:p>
    <w:p>
      <w:pPr>
        <w:widowControl w:val="0"/>
        <w:spacing w:before="0" w:after="0"/>
        <w:ind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возврат субсидии в объеме, который соответствует показателям государственного (муниципального) задания, которые не были достигнуты (с учетом допустимых (возможных) отклонений), в случае, если государственное (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муниципальное) </w:t>
      </w:r>
      <w:r>
        <w:rPr>
          <w:rFonts w:ascii="Times New Roman" w:eastAsia="Times New Roman" w:hAnsi="Times New Roman" w:cs="Times New Roman"/>
          <w:sz w:val="26"/>
          <w:szCs w:val="26"/>
        </w:rPr>
        <w:t>задание является невыполненным;</w:t>
      </w:r>
    </w:p>
    <w:p>
      <w:pPr>
        <w:widowControl w:val="0"/>
        <w:spacing w:before="0" w:after="0"/>
        <w:ind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3) правила осуществления контроля за выполнением государственного (муниципального) задания государственным (муниципальным) учреждением органами государственной власти (органами местного самоуправления), осуществляющими функции и полномочия учредителя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spacing w:before="0" w:after="0"/>
        <w:ind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части 4 статьи 69.2 Бюджетного кодекса РФ финансовое обеспечение выполнения государственных (муниципальных) заданий осуществляется за счет средств федерального бюджета и бюджетов государственных внебюджетных фондов Российской Федерации, бюджетов субъектов Российской Федерации и бюджетов территориальных государственных внебюджетных фондов, местных бюджетов в порядке, установленном соответственно Правительством Российской Федерации, высшим исполнительным органом государственной власти субъекта Российской Федерации, местной администрацией.</w:t>
      </w:r>
    </w:p>
    <w:p>
      <w:pPr>
        <w:widowControl w:val="0"/>
        <w:spacing w:before="0" w:after="0"/>
        <w:ind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Объем финансового обеспечения выполнения государственного (муниципального) задания рассчитывается на основании нормативных затрат на оказание государственных (муниципальных) услуг, утверждаемых в порядке, предусмотренном абзацем первым настоящего пункта, с соблюдением общих требований, определенных федеральными органами исполнительной власти, осуществляющими функции по выработке государственной политики и нормативно-правовому регулированию в установленных сферах деятельности.</w:t>
      </w:r>
    </w:p>
    <w:p>
      <w:pPr>
        <w:widowControl w:val="0"/>
        <w:spacing w:before="0" w:after="0"/>
        <w:ind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решению органа государственной власти, государственного органа (органа местного самоуправления), осуществляющих в соответствии с законодательством Российской Федерации функции и полномочия учредителя государственных (муниципальных) учреждений, при определении объема финансового обеспечения выполнения государственного (муниципального) задания используются нормативные затраты на выполнение работ.</w:t>
      </w:r>
    </w:p>
    <w:p>
      <w:pPr>
        <w:widowControl w:val="0"/>
        <w:spacing w:before="0" w:after="0"/>
        <w:ind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Государственное (муниципальное) задание формируется для бюджетных и автономных учреждений, а также казенных учреждений, определенных в соответствии с решением органа государственной власти (государственного органа), органа местного самоуправления, осуществляющего бюджетные полномочия главного распорядителя бюджетных средств.</w:t>
      </w:r>
    </w:p>
    <w:p>
      <w:pPr>
        <w:widowControl w:val="0"/>
        <w:spacing w:before="0" w:after="0"/>
        <w:ind w:firstLine="53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Виновность </w:t>
      </w:r>
      <w:r>
        <w:rPr>
          <w:rStyle w:val="cat-FIOgrp-24rplc-50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подтверждается протоколом об административном правонарушении № 00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/202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-КМ от </w:t>
      </w:r>
      <w:r>
        <w:rPr>
          <w:rFonts w:ascii="Times New Roman" w:eastAsia="Times New Roman" w:hAnsi="Times New Roman" w:cs="Times New Roman"/>
          <w:sz w:val="26"/>
          <w:szCs w:val="26"/>
        </w:rPr>
        <w:t>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марта 202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выпиской из акта по результатам проверки отдельных вопросов финансово-хозяйственной деятельности и эффективности расходования бюджетных средств в МБУ «Молодежный Центр «</w:t>
      </w:r>
      <w:r>
        <w:rPr>
          <w:rFonts w:ascii="Times New Roman" w:eastAsia="Times New Roman" w:hAnsi="Times New Roman" w:cs="Times New Roman"/>
          <w:sz w:val="26"/>
          <w:szCs w:val="26"/>
        </w:rPr>
        <w:t>Алан</w:t>
      </w:r>
      <w:r>
        <w:rPr>
          <w:rFonts w:ascii="Times New Roman" w:eastAsia="Times New Roman" w:hAnsi="Times New Roman" w:cs="Times New Roman"/>
          <w:sz w:val="26"/>
          <w:szCs w:val="26"/>
        </w:rPr>
        <w:t>» от 1</w:t>
      </w:r>
      <w:r>
        <w:rPr>
          <w:rFonts w:ascii="Times New Roman" w:eastAsia="Times New Roman" w:hAnsi="Times New Roman" w:cs="Times New Roman"/>
          <w:sz w:val="26"/>
          <w:szCs w:val="26"/>
        </w:rPr>
        <w:t>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марта 202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года;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копией </w:t>
      </w:r>
      <w:r>
        <w:rPr>
          <w:rFonts w:ascii="Times New Roman" w:eastAsia="Times New Roman" w:hAnsi="Times New Roman" w:cs="Times New Roman"/>
          <w:sz w:val="26"/>
          <w:szCs w:val="26"/>
        </w:rPr>
        <w:t>постановления Исполнительного комитета города Нижнекамска Республики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Татарстан от 20.03.2017 года № 41 «О порядке формирования муниципального задания на оказание муниципальных услуг в отношении муниципальных учреждений города Нижнекамск и финансового обеспечения выполнения муниципального задания»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  <w:r>
        <w:rPr>
          <w:rFonts w:ascii="Times New Roman" w:eastAsia="Times New Roman" w:hAnsi="Times New Roman" w:cs="Times New Roman"/>
          <w:sz w:val="26"/>
          <w:szCs w:val="26"/>
        </w:rPr>
        <w:t>копией постановления Исполните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льного комитета г. Нижнекамск Республики Татарстан от 21.12.2020 ода № 294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«Об утверждении нормативных затрат на предоставление муниципальной услуги (работы) учреждениями молодежной политики г. Нижнекамска </w:t>
      </w:r>
      <w:r>
        <w:rPr>
          <w:rFonts w:ascii="Times New Roman" w:eastAsia="Times New Roman" w:hAnsi="Times New Roman" w:cs="Times New Roman"/>
          <w:sz w:val="26"/>
          <w:szCs w:val="26"/>
        </w:rPr>
        <w:t>Республики Татарстан на 2021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 (с расчетом)»;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копией приказа о приеме на работу;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муниципальным заданием № 1 на 2021 год и плановый период 2022 и 2023 годов.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</w:p>
    <w:p>
      <w:pPr>
        <w:widowControl w:val="0"/>
        <w:spacing w:before="0" w:after="0"/>
        <w:ind w:firstLine="53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Оценивая доказательства, судья считает их достоверными, в силу последовательности и согласованности между собой, и достаточными для разрешения данного дела. </w:t>
      </w:r>
    </w:p>
    <w:p>
      <w:pPr>
        <w:widowControl w:val="0"/>
        <w:spacing w:before="0" w:after="0"/>
        <w:ind w:firstLine="53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Из исследованных судом доказатель</w:t>
      </w:r>
      <w:r>
        <w:rPr>
          <w:rFonts w:ascii="Times New Roman" w:eastAsia="Times New Roman" w:hAnsi="Times New Roman" w:cs="Times New Roman"/>
          <w:sz w:val="26"/>
          <w:szCs w:val="26"/>
        </w:rPr>
        <w:t>ств сл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едует, что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главным бухгалтером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муниципального бюджетного </w:t>
      </w:r>
      <w:r>
        <w:rPr>
          <w:rStyle w:val="cat-OrganizationNamegrp-31rplc-62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 обеспечен расчет размеров нормативных затрат на оказание муниципальных работ (услуг) МБУ «Молодежный центр «</w:t>
      </w:r>
      <w:r>
        <w:rPr>
          <w:rFonts w:ascii="Times New Roman" w:eastAsia="Times New Roman" w:hAnsi="Times New Roman" w:cs="Times New Roman"/>
          <w:sz w:val="26"/>
          <w:szCs w:val="26"/>
        </w:rPr>
        <w:t>Алан</w:t>
      </w:r>
      <w:r>
        <w:rPr>
          <w:rFonts w:ascii="Times New Roman" w:eastAsia="Times New Roman" w:hAnsi="Times New Roman" w:cs="Times New Roman"/>
          <w:sz w:val="26"/>
          <w:szCs w:val="26"/>
        </w:rPr>
        <w:t>» на 20</w:t>
      </w:r>
      <w:r>
        <w:rPr>
          <w:rFonts w:ascii="Times New Roman" w:eastAsia="Times New Roman" w:hAnsi="Times New Roman" w:cs="Times New Roman"/>
          <w:sz w:val="26"/>
          <w:szCs w:val="26"/>
        </w:rPr>
        <w:t>21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 единицу объема работы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spacing w:before="0" w:after="0"/>
        <w:ind w:firstLine="53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Довод </w:t>
      </w:r>
      <w:r>
        <w:rPr>
          <w:rStyle w:val="cat-FIOgrp-24rplc-64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том, что </w:t>
      </w:r>
      <w:r>
        <w:rPr>
          <w:rFonts w:ascii="Times New Roman" w:eastAsia="Times New Roman" w:hAnsi="Times New Roman" w:cs="Times New Roman"/>
          <w:sz w:val="26"/>
          <w:szCs w:val="26"/>
        </w:rPr>
        <w:t>изменился бы только внутренний документ, но сумма содержания Учреждения не изменилась.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Нормативные затраты были утверждены и рассчитаны на количество мероприятий, утвержденных перспективным планом работы Учреждения, а муниципальное задание было утверждено на большее количество мероприятий</w:t>
      </w:r>
      <w:r>
        <w:rPr>
          <w:rFonts w:ascii="Times New Roman" w:eastAsia="Times New Roman" w:hAnsi="Times New Roman" w:cs="Times New Roman"/>
          <w:sz w:val="26"/>
          <w:szCs w:val="26"/>
        </w:rPr>
        <w:t>, не является основанием для освобождения от ответственности.</w:t>
      </w:r>
    </w:p>
    <w:p>
      <w:pPr>
        <w:widowControl w:val="0"/>
        <w:spacing w:before="240" w:after="0"/>
        <w:ind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</w:t>
      </w:r>
      <w:r>
        <w:rPr>
          <w:rStyle w:val="cat-FIOgrp-24rplc-6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 будучи должностным лицом, не обеспечила порядок формирования муниципального задания.</w:t>
      </w:r>
    </w:p>
    <w:p>
      <w:pPr>
        <w:widowControl w:val="0"/>
        <w:spacing w:before="240" w:after="0"/>
        <w:ind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Style w:val="cat-FIOgrp-24rplc-6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 квалифицирует по статье 15.15.15. Кодекса РФ об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административных правонарушениях - нарушение порядка формирования государственного (муниципального) задания.</w:t>
      </w:r>
    </w:p>
    <w:p>
      <w:pPr>
        <w:widowControl w:val="0"/>
        <w:spacing w:before="240" w:after="0"/>
        <w:ind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назначении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наказания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суд учитывает характер совершенного административного правонарушения, личность виновной, ее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>
      <w:pPr>
        <w:widowControl w:val="0"/>
        <w:spacing w:before="240" w:after="0"/>
        <w:ind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Обстоятельством, смягчающим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административную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ответственность, является наличие на иждивении несовершеннолетних детей.</w:t>
      </w:r>
    </w:p>
    <w:p>
      <w:pPr>
        <w:widowControl w:val="0"/>
        <w:spacing w:before="240" w:after="0"/>
        <w:ind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отягчающих административную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ответственность, судом не установлено.</w:t>
      </w:r>
    </w:p>
    <w:p>
      <w:pPr>
        <w:widowControl w:val="0"/>
        <w:spacing w:before="240" w:after="0"/>
        <w:ind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таких обстоятельствах суд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находит возможным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назначить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наказание в виде минимального штрафа, предусмотренного санкцией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указанной статьи.</w:t>
      </w:r>
    </w:p>
    <w:p>
      <w:pPr>
        <w:widowControl w:val="0"/>
        <w:spacing w:before="240" w:after="0"/>
        <w:ind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Руководствуясь статьей 29.10 Кодекса Российской Федерации об административных правонарушениях, мировой судья</w:t>
      </w:r>
    </w:p>
    <w:p>
      <w:pPr>
        <w:widowControl w:val="0"/>
        <w:spacing w:before="240" w:after="0"/>
        <w:ind w:firstLine="54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widowControl w:val="0"/>
        <w:spacing w:before="240" w:after="0"/>
        <w:ind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>
        <w:rPr>
          <w:rStyle w:val="cat-FIOgrp-26rplc-67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виновной в совершении административного правонарушения, предусмотренного статьей 15.15.15 Кодекса Российской Федерации об административных правонарушениях и подвергнуть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ее наказанию в виде штрафа в размере 10000 (десять тысяч) рублей.</w:t>
      </w:r>
    </w:p>
    <w:p>
      <w:pPr>
        <w:widowControl w:val="0"/>
        <w:spacing w:before="240" w:after="0"/>
        <w:ind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Реквизиты для уплаты штрафа: получатель платежа УФК по РТ (МКУ «Контрольно-счетная палата МО «НМР РТ»), ИНН 1651048580,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КПП 165101001, банк получателя отделение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НБ Республики Татарстан </w:t>
      </w:r>
      <w:r>
        <w:rPr>
          <w:rFonts w:ascii="Times New Roman" w:eastAsia="Times New Roman" w:hAnsi="Times New Roman" w:cs="Times New Roman"/>
          <w:sz w:val="26"/>
          <w:szCs w:val="26"/>
        </w:rPr>
        <w:t>Банка России /УФК по Республике Татарстан г. Казань, БИК банка 01</w:t>
      </w:r>
      <w:r>
        <w:rPr>
          <w:rFonts w:ascii="Times New Roman" w:eastAsia="Times New Roman" w:hAnsi="Times New Roman" w:cs="Times New Roman"/>
          <w:sz w:val="26"/>
          <w:szCs w:val="26"/>
        </w:rPr>
        <w:t>9205</w:t>
      </w:r>
      <w:r>
        <w:rPr>
          <w:rFonts w:ascii="Times New Roman" w:eastAsia="Times New Roman" w:hAnsi="Times New Roman" w:cs="Times New Roman"/>
          <w:sz w:val="26"/>
          <w:szCs w:val="26"/>
        </w:rPr>
        <w:t>400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к/с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4010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810</w:t>
      </w:r>
      <w:r>
        <w:rPr>
          <w:rFonts w:ascii="Times New Roman" w:eastAsia="Times New Roman" w:hAnsi="Times New Roman" w:cs="Times New Roman"/>
          <w:sz w:val="26"/>
          <w:szCs w:val="26"/>
        </w:rPr>
        <w:t>445370000079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sz w:val="26"/>
          <w:szCs w:val="26"/>
        </w:rPr>
        <w:t>/с 03100643000000011100,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КБК 818116</w:t>
      </w:r>
      <w:r>
        <w:rPr>
          <w:rFonts w:ascii="Times New Roman" w:eastAsia="Times New Roman" w:hAnsi="Times New Roman" w:cs="Times New Roman"/>
          <w:sz w:val="26"/>
          <w:szCs w:val="26"/>
        </w:rPr>
        <w:t>01154010000140</w:t>
      </w:r>
      <w:r>
        <w:rPr>
          <w:rFonts w:ascii="Times New Roman" w:eastAsia="Times New Roman" w:hAnsi="Times New Roman" w:cs="Times New Roman"/>
          <w:sz w:val="26"/>
          <w:szCs w:val="26"/>
        </w:rPr>
        <w:t>, ОКТМО 92644000.</w:t>
      </w:r>
    </w:p>
    <w:p>
      <w:pPr>
        <w:widowControl w:val="0"/>
        <w:spacing w:before="240" w:after="0"/>
        <w:ind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Разъяснить лицу, привлеченному к ответственности, что в соответствии со статьей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При отсутствии документа, свидетельствующего об уплате административного штрафа, по истечении 60 дней со срока, указанного в части первой статьи 32.2 Кодекса Российской Федерации об административных правонарушениях, судья, вынесший постановление, направляет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 Согласно части первой статьи </w:t>
      </w:r>
      <w:r>
        <w:rPr>
          <w:rFonts w:ascii="Times New Roman" w:eastAsia="Times New Roman" w:hAnsi="Times New Roman" w:cs="Times New Roman"/>
          <w:sz w:val="26"/>
          <w:szCs w:val="26"/>
        </w:rPr>
        <w:t>20.25 Кодекса Российской Федерации об административных правонарушениях неуплата административного штрафа в срок, предусмотренный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 либо административный арест на срок до пятнадцати суток либо обязательные работы до 50 часов.</w:t>
      </w:r>
    </w:p>
    <w:p>
      <w:pPr>
        <w:widowControl w:val="0"/>
        <w:spacing w:before="240" w:after="0"/>
        <w:ind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Квитанцию об оплате штрафа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необходимо представить в судебный участок № 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Нижнекамскому судебному району РТ, расположенному по адресу: </w:t>
      </w:r>
      <w:r>
        <w:rPr>
          <w:rFonts w:ascii="Times New Roman" w:eastAsia="Times New Roman" w:hAnsi="Times New Roman" w:cs="Times New Roman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sz w:val="26"/>
          <w:szCs w:val="26"/>
        </w:rPr>
        <w:t>.Н</w:t>
      </w:r>
      <w:r>
        <w:rPr>
          <w:rFonts w:ascii="Times New Roman" w:eastAsia="Times New Roman" w:hAnsi="Times New Roman" w:cs="Times New Roman"/>
          <w:sz w:val="26"/>
          <w:szCs w:val="26"/>
        </w:rPr>
        <w:t>ижнекамск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ул. </w:t>
      </w:r>
      <w:r>
        <w:rPr>
          <w:rFonts w:ascii="Times New Roman" w:eastAsia="Times New Roman" w:hAnsi="Times New Roman" w:cs="Times New Roman"/>
          <w:sz w:val="26"/>
          <w:szCs w:val="26"/>
        </w:rPr>
        <w:t>Кайманова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д. 7 кабинет </w:t>
      </w:r>
      <w:r>
        <w:rPr>
          <w:rFonts w:ascii="Times New Roman" w:eastAsia="Times New Roman" w:hAnsi="Times New Roman" w:cs="Times New Roman"/>
          <w:sz w:val="26"/>
          <w:szCs w:val="26"/>
        </w:rPr>
        <w:t>312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spacing w:before="240" w:after="0"/>
        <w:ind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Нижнекамский городской суд Республики Татарстан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в течение 10 дней со дня вручения или получения копии постановления.</w:t>
      </w:r>
    </w:p>
    <w:p>
      <w:pPr>
        <w:widowControl w:val="0"/>
        <w:spacing w:before="240" w:after="0"/>
        <w:ind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Л.Х. </w:t>
      </w:r>
      <w:r>
        <w:rPr>
          <w:rFonts w:ascii="Times New Roman" w:eastAsia="Times New Roman" w:hAnsi="Times New Roman" w:cs="Times New Roman"/>
          <w:sz w:val="26"/>
          <w:szCs w:val="26"/>
        </w:rPr>
        <w:t>Хайбуллина</w:t>
      </w:r>
    </w:p>
    <w:p>
      <w:pPr>
        <w:widowControl w:val="0"/>
        <w:spacing w:before="240" w:after="0"/>
        <w:ind w:firstLine="540"/>
        <w:jc w:val="both"/>
        <w:rPr>
          <w:sz w:val="26"/>
          <w:szCs w:val="26"/>
        </w:rPr>
      </w:pPr>
    </w:p>
    <w:p>
      <w:pPr>
        <w:widowControl w:val="0"/>
        <w:spacing w:before="240" w:after="0"/>
        <w:ind w:firstLine="540"/>
        <w:jc w:val="both"/>
        <w:rPr>
          <w:sz w:val="26"/>
          <w:szCs w:val="26"/>
        </w:rPr>
      </w:pPr>
    </w:p>
    <w:sectPr>
      <w:headerReference w:type="default" r:id="rId4"/>
      <w:footerReference w:type="default" r:id="rId5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rPr>
        <w:sz w:val="22"/>
        <w:szCs w:val="22"/>
      </w:rPr>
    </w:pPr>
  </w:p>
  <w:p>
    <w:pPr>
      <w:widowControl w:val="0"/>
      <w:spacing w:before="0" w:after="0"/>
      <w:rPr>
        <w:sz w:val="2"/>
        <w:szCs w:val="2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spacing w:before="0" w:after="0"/>
    </w:pPr>
  </w:p>
  <w:p>
    <w:pPr>
      <w:widowControl w:val="0"/>
      <w:spacing w:before="0" w:after="0"/>
    </w:pPr>
  </w:p>
  <w:p>
    <w:pPr>
      <w:widowControl w:val="0"/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1">
    <w:name w:val="cat-Address grp-0 rplc-1"/>
    <w:basedOn w:val="DefaultParagraphFont"/>
  </w:style>
  <w:style w:type="character" w:customStyle="1" w:styleId="cat-FIOgrp-22rplc-5">
    <w:name w:val="cat-FIO grp-22 rplc-5"/>
    <w:basedOn w:val="DefaultParagraphFont"/>
  </w:style>
  <w:style w:type="character" w:customStyle="1" w:styleId="cat-PassportDatagrp-30rplc-6">
    <w:name w:val="cat-PassportData grp-30 rplc-6"/>
    <w:basedOn w:val="DefaultParagraphFont"/>
  </w:style>
  <w:style w:type="character" w:customStyle="1" w:styleId="cat-Addressgrp-3rplc-7">
    <w:name w:val="cat-Address grp-3 rplc-7"/>
    <w:basedOn w:val="DefaultParagraphFont"/>
  </w:style>
  <w:style w:type="character" w:customStyle="1" w:styleId="cat-Addressgrp-2rplc-8">
    <w:name w:val="cat-Address grp-2 rplc-8"/>
    <w:basedOn w:val="DefaultParagraphFont"/>
  </w:style>
  <w:style w:type="character" w:customStyle="1" w:styleId="cat-FIOgrp-24rplc-10">
    <w:name w:val="cat-FIO grp-24 rplc-10"/>
    <w:basedOn w:val="DefaultParagraphFont"/>
  </w:style>
  <w:style w:type="character" w:customStyle="1" w:styleId="cat-OrganizationNamegrp-31rplc-11">
    <w:name w:val="cat-OrganizationName grp-31 rplc-11"/>
    <w:basedOn w:val="DefaultParagraphFont"/>
  </w:style>
  <w:style w:type="character" w:customStyle="1" w:styleId="cat-Addressgrp-6rplc-12">
    <w:name w:val="cat-Address grp-6 rplc-12"/>
    <w:basedOn w:val="DefaultParagraphFont"/>
  </w:style>
  <w:style w:type="character" w:customStyle="1" w:styleId="cat-OrganizationNamegrp-32rplc-17">
    <w:name w:val="cat-OrganizationName grp-32 rplc-17"/>
    <w:basedOn w:val="DefaultParagraphFont"/>
  </w:style>
  <w:style w:type="character" w:customStyle="1" w:styleId="cat-Addressgrp-2rplc-19">
    <w:name w:val="cat-Address grp-2 rplc-19"/>
    <w:basedOn w:val="DefaultParagraphFont"/>
  </w:style>
  <w:style w:type="character" w:customStyle="1" w:styleId="cat-FIOgrp-25rplc-22">
    <w:name w:val="cat-FIO grp-25 rplc-22"/>
    <w:basedOn w:val="DefaultParagraphFont"/>
  </w:style>
  <w:style w:type="character" w:customStyle="1" w:styleId="cat-FIOgrp-24rplc-23">
    <w:name w:val="cat-FIO grp-24 rplc-23"/>
    <w:basedOn w:val="DefaultParagraphFont"/>
  </w:style>
  <w:style w:type="character" w:customStyle="1" w:styleId="cat-Addressgrp-2rplc-24">
    <w:name w:val="cat-Address grp-2 rplc-24"/>
    <w:basedOn w:val="DefaultParagraphFont"/>
  </w:style>
  <w:style w:type="character" w:customStyle="1" w:styleId="cat-OrganizationNamegrp-32rplc-26">
    <w:name w:val="cat-OrganizationName grp-32 rplc-26"/>
    <w:basedOn w:val="DefaultParagraphFont"/>
  </w:style>
  <w:style w:type="character" w:customStyle="1" w:styleId="cat-FIOgrp-24rplc-34">
    <w:name w:val="cat-FIO grp-24 rplc-34"/>
    <w:basedOn w:val="DefaultParagraphFont"/>
  </w:style>
  <w:style w:type="character" w:customStyle="1" w:styleId="cat-FIOgrp-25rplc-46">
    <w:name w:val="cat-FIO grp-25 rplc-46"/>
    <w:basedOn w:val="DefaultParagraphFont"/>
  </w:style>
  <w:style w:type="character" w:customStyle="1" w:styleId="cat-FIOgrp-24rplc-47">
    <w:name w:val="cat-FIO grp-24 rplc-47"/>
    <w:basedOn w:val="DefaultParagraphFont"/>
  </w:style>
  <w:style w:type="character" w:customStyle="1" w:styleId="cat-FIOgrp-24rplc-48">
    <w:name w:val="cat-FIO grp-24 rplc-48"/>
    <w:basedOn w:val="DefaultParagraphFont"/>
  </w:style>
  <w:style w:type="character" w:customStyle="1" w:styleId="cat-FIOgrp-24rplc-50">
    <w:name w:val="cat-FIO grp-24 rplc-50"/>
    <w:basedOn w:val="DefaultParagraphFont"/>
  </w:style>
  <w:style w:type="character" w:customStyle="1" w:styleId="cat-OrganizationNamegrp-31rplc-62">
    <w:name w:val="cat-OrganizationName grp-31 rplc-62"/>
    <w:basedOn w:val="DefaultParagraphFont"/>
  </w:style>
  <w:style w:type="character" w:customStyle="1" w:styleId="cat-FIOgrp-24rplc-64">
    <w:name w:val="cat-FIO grp-24 rplc-64"/>
    <w:basedOn w:val="DefaultParagraphFont"/>
  </w:style>
  <w:style w:type="character" w:customStyle="1" w:styleId="cat-FIOgrp-24rplc-65">
    <w:name w:val="cat-FIO grp-24 rplc-65"/>
    <w:basedOn w:val="DefaultParagraphFont"/>
  </w:style>
  <w:style w:type="character" w:customStyle="1" w:styleId="cat-FIOgrp-24rplc-66">
    <w:name w:val="cat-FIO grp-24 rplc-66"/>
    <w:basedOn w:val="DefaultParagraphFont"/>
  </w:style>
  <w:style w:type="character" w:customStyle="1" w:styleId="cat-FIOgrp-26rplc-67">
    <w:name w:val="cat-FIO grp-26 rplc-6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