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2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№5-70/4/22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 февраля 2022 г.</w:t>
      </w:r>
    </w:p>
    <w:p>
      <w:pPr>
        <w:spacing w:before="0" w:after="0"/>
        <w:ind w:right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 судебному району Республики Татарстан Ахунов М.А., исполняющий обязанности мирового судьи судебного участка № 4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 по ст.19.5 ч.1 КоАП РФ в отношении </w:t>
      </w:r>
      <w:r>
        <w:rPr>
          <w:rStyle w:val="cat-FIOgrp-1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9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являющегося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инженером </w:t>
      </w:r>
      <w:r>
        <w:rPr>
          <w:rStyle w:val="cat-OrganizationNamegrp-22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не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инженером </w:t>
      </w:r>
      <w:r>
        <w:rPr>
          <w:rStyle w:val="cat-OrganizationNamegrp-22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месте регистрации юридического лица в </w:t>
      </w:r>
      <w:r>
        <w:rPr>
          <w:rStyle w:val="cat-Addressgrp-6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здание 2, корпус 1, помещение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правонарушение, выразившееся в неисполнении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01.11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.11.20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устранени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требований и мероприятий в области гражданской обороны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выданного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НД и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муниципальному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 УНД и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Республике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объекты к использованию непригодны, подготовлены документы в БТИ, в орган, выдавший предписание, документы не представили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предписанием </w:t>
      </w:r>
      <w:r>
        <w:rPr>
          <w:rFonts w:ascii="Times New Roman" w:eastAsia="Times New Roman" w:hAnsi="Times New Roman" w:cs="Times New Roman"/>
          <w:sz w:val="28"/>
          <w:szCs w:val="28"/>
        </w:rPr>
        <w:t>№7 от 21.11.2019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 выполнить мероприятия: защитное сооружение гражданской обороны – укрытие № 1(30/35) привести в состояние готовности к приему укрываемых, срок устранения нарушений 01.1.2020;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решением о переносе сроков исполнения предписания №7 от 21.11.2019 до 01.11.2021 включительно;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решением о проведении внеплановой выездной проверки в области гражданской обороны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01.12.2021 в связи с истечением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исполнения предписания №7 от 21.11.2019;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внеплановой выездной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14.12.2021 с протоколом осмотра, которым выявлено неисполнение п.1 предписания №7 от 21.11.2019;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приказа о назначении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инженером </w:t>
      </w:r>
      <w:r>
        <w:rPr>
          <w:rStyle w:val="cat-OrganizationNamegrp-22rplc-3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приказа о назначении главного инженер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22rplc-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ответственным за выполнение предписания №7 от 21.11.2019.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находит предписание обоснованным.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6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19.5 ч.1 КоАП РФ как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минимальный размер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2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4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ст.19.5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26678057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140, по протоколу </w:t>
      </w:r>
      <w:r>
        <w:rPr>
          <w:rFonts w:ascii="Times New Roman" w:eastAsia="Times New Roman" w:hAnsi="Times New Roman" w:cs="Times New Roman"/>
          <w:sz w:val="28"/>
          <w:szCs w:val="28"/>
        </w:rPr>
        <w:t>МИФНС №11 по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по судебному делу №5</w:t>
      </w:r>
      <w:r>
        <w:rPr>
          <w:rFonts w:ascii="Times New Roman" w:eastAsia="Times New Roman" w:hAnsi="Times New Roman" w:cs="Times New Roman"/>
          <w:sz w:val="28"/>
          <w:szCs w:val="28"/>
        </w:rPr>
        <w:t>-74/4/22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или получения копии постановления.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4rplc-6">
    <w:name w:val="cat-FIO grp-14 rplc-6"/>
    <w:basedOn w:val="DefaultParagraphFont"/>
  </w:style>
  <w:style w:type="character" w:customStyle="1" w:styleId="cat-Dategrp-9rplc-7">
    <w:name w:val="cat-Date grp-9 rplc-7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OrganizationNamegrp-22rplc-12">
    <w:name w:val="cat-OrganizationName grp-22 rplc-12"/>
    <w:basedOn w:val="DefaultParagraphFont"/>
  </w:style>
  <w:style w:type="character" w:customStyle="1" w:styleId="cat-OrganizationNamegrp-22rplc-13">
    <w:name w:val="cat-OrganizationName grp-22 rplc-13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OrganizationNamegrp-22rplc-31">
    <w:name w:val="cat-OrganizationName grp-22 rplc-31"/>
    <w:basedOn w:val="DefaultParagraphFont"/>
  </w:style>
  <w:style w:type="character" w:customStyle="1" w:styleId="cat-OrganizationNamegrp-22rplc-32">
    <w:name w:val="cat-OrganizationName grp-22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FIOgrp-14rplc-36">
    <w:name w:val="cat-FIO grp-14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