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right="141" w:firstLine="851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-________/</w:t>
      </w:r>
      <w:r>
        <w:rPr>
          <w:b w:val="0"/>
          <w:bCs w:val="0"/>
          <w:i w:val="0"/>
          <w:sz w:val="28"/>
          <w:szCs w:val="28"/>
        </w:rPr>
        <w:t>4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22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</w:p>
    <w:p>
      <w:pPr>
        <w:spacing w:before="0" w:after="0"/>
        <w:ind w:right="14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141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ст.12.7 ч.2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sz w:val="28"/>
          <w:szCs w:val="28"/>
        </w:rPr>
        <w:t>06337215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Style w:val="cat-FIOgrp-10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</w:p>
    <w:p>
      <w:pPr>
        <w:spacing w:before="0" w:after="0"/>
        <w:ind w:right="141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</w:p>
    <w:p>
      <w:pPr>
        <w:spacing w:before="40" w:after="4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 п.2.</w:t>
      </w: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Style w:val="cat-FIOgrp-12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2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управле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951993526grp-21rplc-19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правонарушения, совершенного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6 по Нижнекамскому судебному району Республики Татарстан, исполняющего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9 по 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которым </w:t>
      </w:r>
      <w:r>
        <w:rPr>
          <w:rStyle w:val="cat-FIOgrp-12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 виновным в совершении правонарушения, предусмотренного ч.2 ст.12.8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ему назначено наказание в виде штрафа в размере 30000 рублей с лишением 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транспортными средствами на срок 1 год 6 месяцев. Постановление вступило в законную силу 8 декабря 2020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4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ст.12.7 ч.2 Кодекса Российской Федерации об административных правонарушениях -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общественную значимость содеянного, считает необходимым назначить административный арест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</w:t>
      </w:r>
      <w:r>
        <w:rPr>
          <w:rFonts w:ascii="Times New Roman" w:eastAsia="Times New Roman" w:hAnsi="Times New Roman" w:cs="Times New Roman"/>
          <w:sz w:val="28"/>
          <w:szCs w:val="28"/>
        </w:rPr>
        <w:t>7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23.1, 29.9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</w:p>
    <w:p>
      <w:pPr>
        <w:spacing w:before="0" w:after="0"/>
        <w:ind w:right="141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0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ст.12.7 ч.2 Кодекса Российской Федерации об административных правонарушениях, и наложить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отбывания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12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141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0rplc-6">
    <w:name w:val="cat-FIO grp-10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UserDefined-1951993526grp-21rplc-19">
    <w:name w:val="cat-UserDefined-1951993526 grp-21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0rplc-31">
    <w:name w:val="cat-FIO grp-10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