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1D6DEE">
        <w:rPr>
          <w:sz w:val="28"/>
          <w:szCs w:val="28"/>
        </w:rPr>
        <w:t>9</w:t>
      </w:r>
      <w:r w:rsidR="0057243D">
        <w:rPr>
          <w:sz w:val="28"/>
          <w:szCs w:val="28"/>
        </w:rPr>
        <w:t xml:space="preserve"> 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A4AD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B814B3">
        <w:rPr>
          <w:sz w:val="28"/>
          <w:szCs w:val="28"/>
        </w:rPr>
        <w:t>Свиньякова А</w:t>
      </w:r>
      <w:r w:rsidR="00C96158">
        <w:rPr>
          <w:sz w:val="28"/>
          <w:szCs w:val="28"/>
        </w:rPr>
        <w:t>.</w:t>
      </w:r>
      <w:r w:rsidR="00B814B3">
        <w:rPr>
          <w:sz w:val="28"/>
          <w:szCs w:val="28"/>
        </w:rPr>
        <w:t>Н</w:t>
      </w:r>
      <w:r w:rsidR="00C96158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C96158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="00B814B3">
        <w:rPr>
          <w:sz w:val="28"/>
          <w:szCs w:val="28"/>
        </w:rPr>
        <w:t>ранее привлекавшегося</w:t>
      </w:r>
      <w:r w:rsidRPr="005C1A04">
        <w:rPr>
          <w:sz w:val="28"/>
          <w:szCs w:val="28"/>
        </w:rPr>
        <w:t xml:space="preserve">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71708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B814B3">
        <w:rPr>
          <w:sz w:val="28"/>
          <w:szCs w:val="28"/>
        </w:rPr>
        <w:t>2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23</w:t>
      </w:r>
      <w:r w:rsidR="00C8116B">
        <w:rPr>
          <w:sz w:val="28"/>
          <w:szCs w:val="28"/>
        </w:rPr>
        <w:t xml:space="preserve"> минут</w:t>
      </w:r>
      <w:r w:rsidR="00725650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B00B7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>»</w:t>
      </w:r>
      <w:r w:rsidR="00B814B3">
        <w:rPr>
          <w:sz w:val="28"/>
          <w:szCs w:val="28"/>
        </w:rPr>
        <w:t xml:space="preserve"> Свиньяков А.Н.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B814B3">
        <w:rPr>
          <w:sz w:val="28"/>
          <w:szCs w:val="28"/>
        </w:rPr>
        <w:t>кофе «Фреско»</w:t>
      </w:r>
      <w:r w:rsidR="00725650">
        <w:rPr>
          <w:sz w:val="28"/>
          <w:szCs w:val="28"/>
        </w:rPr>
        <w:t>,</w:t>
      </w:r>
      <w:r w:rsidR="00B814B3">
        <w:rPr>
          <w:sz w:val="28"/>
          <w:szCs w:val="28"/>
        </w:rPr>
        <w:t xml:space="preserve"> весом 100 грамм, стоимостью 145 рублей 83 копейки, торт «Йогуртовый персик», стоимостью 137 рублей 58 копеек, соус майонезный, стоимостью 63 рубля 62 копейки,</w:t>
      </w:r>
      <w:r w:rsidR="008A60A2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совершив мелкое хищение на общую сумму </w:t>
      </w:r>
      <w:r w:rsidR="00B814B3">
        <w:rPr>
          <w:sz w:val="28"/>
          <w:szCs w:val="28"/>
        </w:rPr>
        <w:t>347</w:t>
      </w:r>
      <w:r w:rsidRPr="00F220A6" w:rsidR="00B00B7F">
        <w:rPr>
          <w:sz w:val="28"/>
          <w:szCs w:val="28"/>
        </w:rPr>
        <w:t xml:space="preserve"> рубл</w:t>
      </w:r>
      <w:r w:rsidR="00B814B3">
        <w:rPr>
          <w:sz w:val="28"/>
          <w:szCs w:val="28"/>
        </w:rPr>
        <w:t>ей 03 копейки</w:t>
      </w:r>
      <w:r w:rsidR="0057243D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б</w:t>
      </w:r>
      <w:r w:rsidRPr="00F220A6" w:rsidR="00B00B7F">
        <w:rPr>
          <w:sz w:val="28"/>
          <w:szCs w:val="28"/>
        </w:rPr>
        <w:t>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Свиньяков А.Н.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>
        <w:rPr>
          <w:sz w:val="28"/>
          <w:szCs w:val="28"/>
        </w:rPr>
        <w:t xml:space="preserve">не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, показал, что произвел оплату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 w:rsidR="00B814B3">
        <w:rPr>
          <w:sz w:val="28"/>
          <w:szCs w:val="28"/>
        </w:rPr>
        <w:t>Свиньякова А.Н.</w:t>
      </w:r>
      <w:r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C96158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</w:t>
      </w:r>
      <w:r w:rsidR="00725650">
        <w:rPr>
          <w:color w:val="000000" w:themeColor="text1"/>
          <w:sz w:val="28"/>
          <w:szCs w:val="28"/>
        </w:rPr>
        <w:t>магазина</w:t>
      </w:r>
      <w:r w:rsidRPr="008A60A2">
        <w:rPr>
          <w:color w:val="000000" w:themeColor="text1"/>
          <w:sz w:val="28"/>
          <w:szCs w:val="28"/>
        </w:rPr>
        <w:t xml:space="preserve"> «</w:t>
      </w:r>
      <w:r w:rsidR="00C96158">
        <w:rPr>
          <w:color w:val="000000" w:themeColor="text1"/>
          <w:sz w:val="28"/>
          <w:szCs w:val="28"/>
        </w:rPr>
        <w:t>***</w:t>
      </w:r>
      <w:r w:rsidRPr="008A60A2">
        <w:rPr>
          <w:color w:val="000000" w:themeColor="text1"/>
          <w:sz w:val="28"/>
          <w:szCs w:val="28"/>
        </w:rPr>
        <w:t xml:space="preserve">» </w:t>
      </w:r>
      <w:r w:rsidR="00C96158">
        <w:rPr>
          <w:color w:val="000000" w:themeColor="text1"/>
          <w:sz w:val="28"/>
          <w:szCs w:val="28"/>
        </w:rPr>
        <w:t>фио</w:t>
      </w:r>
      <w:r w:rsidR="00B814B3">
        <w:rPr>
          <w:color w:val="000000" w:themeColor="text1"/>
          <w:sz w:val="28"/>
          <w:szCs w:val="28"/>
        </w:rPr>
        <w:t>.</w:t>
      </w:r>
      <w:r w:rsidR="00725650">
        <w:rPr>
          <w:color w:val="000000" w:themeColor="text1"/>
          <w:sz w:val="28"/>
          <w:szCs w:val="28"/>
        </w:rPr>
        <w:t xml:space="preserve">, </w:t>
      </w:r>
      <w:r w:rsidR="00574272">
        <w:rPr>
          <w:color w:val="000000" w:themeColor="text1"/>
          <w:sz w:val="28"/>
          <w:szCs w:val="28"/>
        </w:rPr>
        <w:t xml:space="preserve">объяснением </w:t>
      </w:r>
      <w:r w:rsidRPr="008A60A2" w:rsidR="00574272">
        <w:rPr>
          <w:color w:val="000000" w:themeColor="text1"/>
          <w:sz w:val="28"/>
          <w:szCs w:val="28"/>
        </w:rPr>
        <w:t>работник</w:t>
      </w:r>
      <w:r w:rsidR="00574272">
        <w:rPr>
          <w:color w:val="000000" w:themeColor="text1"/>
          <w:sz w:val="28"/>
          <w:szCs w:val="28"/>
        </w:rPr>
        <w:t>а</w:t>
      </w:r>
      <w:r w:rsidRPr="008A60A2" w:rsidR="00574272">
        <w:rPr>
          <w:color w:val="000000" w:themeColor="text1"/>
          <w:sz w:val="28"/>
          <w:szCs w:val="28"/>
        </w:rPr>
        <w:t xml:space="preserve"> </w:t>
      </w:r>
      <w:r w:rsidR="00574272">
        <w:rPr>
          <w:color w:val="000000" w:themeColor="text1"/>
          <w:sz w:val="28"/>
          <w:szCs w:val="28"/>
        </w:rPr>
        <w:t>магазина</w:t>
      </w:r>
      <w:r w:rsidRPr="008A60A2" w:rsidR="00574272">
        <w:rPr>
          <w:color w:val="000000" w:themeColor="text1"/>
          <w:sz w:val="28"/>
          <w:szCs w:val="28"/>
        </w:rPr>
        <w:t xml:space="preserve"> «</w:t>
      </w:r>
      <w:r w:rsidR="00C96158">
        <w:rPr>
          <w:color w:val="000000" w:themeColor="text1"/>
          <w:sz w:val="28"/>
          <w:szCs w:val="28"/>
        </w:rPr>
        <w:t>***</w:t>
      </w:r>
      <w:r w:rsidRPr="008A60A2" w:rsidR="00574272">
        <w:rPr>
          <w:color w:val="000000" w:themeColor="text1"/>
          <w:sz w:val="28"/>
          <w:szCs w:val="28"/>
        </w:rPr>
        <w:t xml:space="preserve">» </w:t>
      </w:r>
      <w:r w:rsidR="00C96158">
        <w:rPr>
          <w:color w:val="000000" w:themeColor="text1"/>
          <w:sz w:val="28"/>
          <w:szCs w:val="28"/>
        </w:rPr>
        <w:t>фио</w:t>
      </w:r>
      <w:r w:rsidR="00725650">
        <w:rPr>
          <w:color w:val="000000" w:themeColor="text1"/>
          <w:sz w:val="28"/>
          <w:szCs w:val="28"/>
        </w:rPr>
        <w:t>.</w:t>
      </w:r>
    </w:p>
    <w:p w:rsidR="00F405E1" w:rsidRPr="008A60A2" w:rsidP="0067170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367626">
        <w:rPr>
          <w:color w:val="000000" w:themeColor="text1"/>
          <w:sz w:val="28"/>
          <w:szCs w:val="28"/>
        </w:rPr>
        <w:t xml:space="preserve">Действия </w:t>
      </w:r>
      <w:r w:rsidR="00B814B3">
        <w:rPr>
          <w:sz w:val="28"/>
          <w:szCs w:val="28"/>
        </w:rPr>
        <w:t xml:space="preserve">Свиньякова А.Н. </w:t>
      </w:r>
      <w:r w:rsidRPr="00367626">
        <w:rPr>
          <w:color w:val="000000" w:themeColor="text1"/>
          <w:sz w:val="28"/>
          <w:szCs w:val="28"/>
        </w:rPr>
        <w:t xml:space="preserve">суд квалифицирует по части первой статьи 7.27 Кодекса об административных правонарушениях Российской Федерации - </w:t>
      </w:r>
      <w:r w:rsidRPr="00367626">
        <w:rPr>
          <w:color w:val="000000" w:themeColor="text1"/>
          <w:sz w:val="28"/>
          <w:szCs w:val="28"/>
          <w:shd w:val="clear" w:color="auto" w:fill="FFFFFF"/>
        </w:rPr>
        <w:t> </w:t>
      </w:r>
      <w:r w:rsidR="00B814B3">
        <w:rPr>
          <w:color w:val="000000" w:themeColor="text1"/>
          <w:sz w:val="28"/>
          <w:szCs w:val="28"/>
          <w:shd w:val="clear" w:color="auto" w:fill="FFFFFF"/>
        </w:rPr>
        <w:t>м</w:t>
      </w:r>
      <w:r w:rsidRPr="00367626" w:rsidR="00367626">
        <w:rPr>
          <w:color w:val="000000" w:themeColor="text1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настоящего Кодекса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B814B3">
        <w:rPr>
          <w:sz w:val="28"/>
          <w:szCs w:val="28"/>
        </w:rPr>
        <w:t>Свиньякова А.Н.</w:t>
      </w:r>
      <w:r w:rsidR="004E607E">
        <w:rPr>
          <w:sz w:val="28"/>
          <w:szCs w:val="28"/>
        </w:rPr>
        <w:t>, его отношение к содеянному</w:t>
      </w:r>
      <w:r w:rsidR="00725650">
        <w:rPr>
          <w:sz w:val="28"/>
          <w:szCs w:val="28"/>
        </w:rPr>
        <w:t>, того обстоятельства, что он не работает, не имея источника для оплаты административного штрафа</w:t>
      </w:r>
      <w:r w:rsidR="004E607E">
        <w:rPr>
          <w:sz w:val="28"/>
          <w:szCs w:val="28"/>
        </w:rPr>
        <w:t>.</w:t>
      </w:r>
    </w:p>
    <w:p w:rsidR="000145E1" w:rsidRPr="00E579E3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смягчающи</w:t>
      </w:r>
      <w:r w:rsidR="00B814B3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>миров</w:t>
      </w:r>
      <w:r w:rsidR="00B814B3">
        <w:rPr>
          <w:sz w:val="28"/>
          <w:szCs w:val="28"/>
        </w:rPr>
        <w:t>ым</w:t>
      </w:r>
      <w:r w:rsidR="007E389C">
        <w:rPr>
          <w:sz w:val="28"/>
          <w:szCs w:val="28"/>
        </w:rPr>
        <w:t xml:space="preserve"> судь</w:t>
      </w:r>
      <w:r w:rsidR="00B814B3">
        <w:rPr>
          <w:sz w:val="28"/>
          <w:szCs w:val="28"/>
        </w:rPr>
        <w:t>ей</w:t>
      </w:r>
      <w:r w:rsidR="007E389C">
        <w:rPr>
          <w:sz w:val="28"/>
          <w:szCs w:val="28"/>
        </w:rPr>
        <w:t xml:space="preserve"> </w:t>
      </w:r>
      <w:r w:rsidR="00B814B3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252426" w:rsidRPr="00C46526" w:rsidP="00725650">
      <w:pPr>
        <w:shd w:val="clear" w:color="auto" w:fill="FFFFFF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413464">
        <w:rPr>
          <w:sz w:val="28"/>
          <w:szCs w:val="28"/>
        </w:rPr>
        <w:t>ом</w:t>
      </w:r>
      <w:r w:rsidRPr="00E579E3">
        <w:rPr>
          <w:sz w:val="28"/>
          <w:szCs w:val="28"/>
        </w:rPr>
        <w:t>, отягчающи</w:t>
      </w:r>
      <w:r w:rsidR="00413464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413464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71708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655E0C">
      <w:pPr>
        <w:shd w:val="clear" w:color="auto" w:fill="FFFFFF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Свиньякова А</w:t>
      </w:r>
      <w:r w:rsidR="00C9615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96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23203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 xml:space="preserve">срок </w:t>
      </w:r>
      <w:r w:rsidR="00725650"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57243D">
        <w:rPr>
          <w:sz w:val="28"/>
          <w:szCs w:val="28"/>
        </w:rPr>
        <w:t>1</w:t>
      </w:r>
      <w:r w:rsidR="00413464">
        <w:rPr>
          <w:sz w:val="28"/>
          <w:szCs w:val="28"/>
        </w:rPr>
        <w:t>4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17A6A">
        <w:rPr>
          <w:sz w:val="28"/>
          <w:szCs w:val="28"/>
        </w:rPr>
        <w:t xml:space="preserve"> </w:t>
      </w:r>
      <w:r w:rsidR="00413464">
        <w:rPr>
          <w:sz w:val="28"/>
          <w:szCs w:val="28"/>
        </w:rPr>
        <w:t>5</w:t>
      </w:r>
      <w:r w:rsidR="008A60A2">
        <w:rPr>
          <w:sz w:val="28"/>
          <w:szCs w:val="28"/>
        </w:rPr>
        <w:t>0</w:t>
      </w:r>
      <w:r w:rsidR="0057243D">
        <w:rPr>
          <w:sz w:val="28"/>
          <w:szCs w:val="28"/>
        </w:rPr>
        <w:t xml:space="preserve"> минут 2</w:t>
      </w:r>
      <w:r w:rsidR="00413464">
        <w:rPr>
          <w:sz w:val="28"/>
          <w:szCs w:val="28"/>
        </w:rPr>
        <w:t>8</w:t>
      </w:r>
      <w:r w:rsidR="009348BD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 xml:space="preserve">июня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A60A2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655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4DDA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D6DEE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14F9"/>
    <w:rsid w:val="00354D7E"/>
    <w:rsid w:val="00363A7A"/>
    <w:rsid w:val="00367626"/>
    <w:rsid w:val="003767F3"/>
    <w:rsid w:val="00395956"/>
    <w:rsid w:val="003A4A79"/>
    <w:rsid w:val="003A4ADE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13464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0FD0"/>
    <w:rsid w:val="0057243D"/>
    <w:rsid w:val="005738C9"/>
    <w:rsid w:val="00574272"/>
    <w:rsid w:val="0057660F"/>
    <w:rsid w:val="00593951"/>
    <w:rsid w:val="005A397B"/>
    <w:rsid w:val="005B36EA"/>
    <w:rsid w:val="005B6F73"/>
    <w:rsid w:val="005C1A04"/>
    <w:rsid w:val="005C6BB5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5E0C"/>
    <w:rsid w:val="00657B50"/>
    <w:rsid w:val="00660DDE"/>
    <w:rsid w:val="00663787"/>
    <w:rsid w:val="0066533D"/>
    <w:rsid w:val="00671708"/>
    <w:rsid w:val="00681B36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256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0C1B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52C60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230F"/>
    <w:rsid w:val="009B5BA7"/>
    <w:rsid w:val="009C5836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0B7F"/>
    <w:rsid w:val="00B0613B"/>
    <w:rsid w:val="00B17A6A"/>
    <w:rsid w:val="00B22E69"/>
    <w:rsid w:val="00B23509"/>
    <w:rsid w:val="00B33FEC"/>
    <w:rsid w:val="00B379E9"/>
    <w:rsid w:val="00B43EA7"/>
    <w:rsid w:val="00B51593"/>
    <w:rsid w:val="00B61B4A"/>
    <w:rsid w:val="00B814B3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96158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28.06.2022" TargetMode="External" /><Relationship Id="rId11" Type="http://schemas.openxmlformats.org/officeDocument/2006/relationships/hyperlink" Target="https://login.consultant.ru/link/?req=doc&amp;demo=2&amp;base=LAW&amp;n=412702&amp;dst=1213&amp;field=134&amp;date=28.06.2022" TargetMode="External" /><Relationship Id="rId12" Type="http://schemas.openxmlformats.org/officeDocument/2006/relationships/hyperlink" Target="https://login.consultant.ru/link/?req=doc&amp;demo=2&amp;base=LAW&amp;n=412702&amp;dst=1217&amp;field=134&amp;date=28.06.2022" TargetMode="External" /><Relationship Id="rId13" Type="http://schemas.openxmlformats.org/officeDocument/2006/relationships/hyperlink" Target="https://login.consultant.ru/link/?req=doc&amp;demo=2&amp;base=LAW&amp;n=412702&amp;dst=1219&amp;field=134&amp;date=28.06.2022" TargetMode="External" /><Relationship Id="rId14" Type="http://schemas.openxmlformats.org/officeDocument/2006/relationships/hyperlink" Target="https://login.consultant.ru/link/?req=doc&amp;demo=2&amp;base=LAW&amp;n=412702&amp;dst=1221&amp;field=134&amp;date=28.06.2022" TargetMode="External" /><Relationship Id="rId15" Type="http://schemas.openxmlformats.org/officeDocument/2006/relationships/hyperlink" Target="https://login.consultant.ru/link/?req=doc&amp;demo=2&amp;base=LAW&amp;n=412702&amp;dst=1227&amp;field=134&amp;date=28.06.2022" TargetMode="External" /><Relationship Id="rId16" Type="http://schemas.openxmlformats.org/officeDocument/2006/relationships/hyperlink" Target="https://login.consultant.ru/link/?req=doc&amp;demo=2&amp;base=LAW&amp;n=412702&amp;dst=1229&amp;field=134&amp;date=28.06.2022" TargetMode="External" /><Relationship Id="rId17" Type="http://schemas.openxmlformats.org/officeDocument/2006/relationships/hyperlink" Target="https://login.consultant.ru/link/?req=doc&amp;demo=2&amp;base=LAW&amp;n=412702&amp;dst=1231&amp;field=134&amp;date=28.06.2022" TargetMode="External" /><Relationship Id="rId18" Type="http://schemas.openxmlformats.org/officeDocument/2006/relationships/hyperlink" Target="https://login.consultant.ru/link/?req=doc&amp;demo=2&amp;base=LAW&amp;n=412702&amp;dst=1236&amp;field=134&amp;date=28.06.2022" TargetMode="External" /><Relationship Id="rId19" Type="http://schemas.openxmlformats.org/officeDocument/2006/relationships/hyperlink" Target="https://login.consultant.ru/link/?req=doc&amp;demo=2&amp;base=LAW&amp;n=412702&amp;dst=1238&amp;field=134&amp;date=28.06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28.06.2022" TargetMode="External" /><Relationship Id="rId21" Type="http://schemas.openxmlformats.org/officeDocument/2006/relationships/hyperlink" Target="https://login.consultant.ru/link/?req=doc&amp;demo=2&amp;base=LAW&amp;n=412702&amp;dst=1252&amp;field=134&amp;date=28.06.2022" TargetMode="External" /><Relationship Id="rId22" Type="http://schemas.openxmlformats.org/officeDocument/2006/relationships/hyperlink" Target="https://login.consultant.ru/link/?req=doc&amp;demo=2&amp;base=LAW&amp;n=412702&amp;dst=1254&amp;field=134&amp;date=28.06.2022" TargetMode="External" /><Relationship Id="rId23" Type="http://schemas.openxmlformats.org/officeDocument/2006/relationships/hyperlink" Target="https://login.consultant.ru/link/?req=doc&amp;demo=2&amp;base=LAW&amp;n=412702&amp;dst=1256&amp;field=134&amp;date=28.06.2022" TargetMode="External" /><Relationship Id="rId24" Type="http://schemas.openxmlformats.org/officeDocument/2006/relationships/hyperlink" Target="https://login.consultant.ru/link/?req=doc&amp;demo=2&amp;base=LAW&amp;n=412702&amp;dst=1261&amp;field=134&amp;date=28.06.2022" TargetMode="External" /><Relationship Id="rId25" Type="http://schemas.openxmlformats.org/officeDocument/2006/relationships/hyperlink" Target="https://login.consultant.ru/link/?req=doc&amp;demo=2&amp;base=LAW&amp;n=412702&amp;dst=1263&amp;field=134&amp;date=28.06.2022" TargetMode="External" /><Relationship Id="rId26" Type="http://schemas.openxmlformats.org/officeDocument/2006/relationships/hyperlink" Target="https://login.consultant.ru/link/?req=doc&amp;demo=2&amp;base=LAW&amp;n=412702&amp;dst=1265&amp;field=134&amp;date=28.06.2022" TargetMode="External" /><Relationship Id="rId27" Type="http://schemas.openxmlformats.org/officeDocument/2006/relationships/hyperlink" Target="https://login.consultant.ru/link/?req=doc&amp;demo=2&amp;base=LAW&amp;n=412702&amp;dst=102615&amp;field=134&amp;date=28.06.2022" TargetMode="External" /><Relationship Id="rId28" Type="http://schemas.openxmlformats.org/officeDocument/2006/relationships/hyperlink" Target="https://login.consultant.ru/link/?req=doc&amp;demo=2&amp;base=LAW&amp;n=412702&amp;dst=102617&amp;field=134&amp;date=28.06.2022" TargetMode="External" /><Relationship Id="rId29" Type="http://schemas.openxmlformats.org/officeDocument/2006/relationships/hyperlink" Target="https://login.consultant.ru/link/?req=doc&amp;demo=2&amp;base=LAW&amp;n=419255&amp;dst=8149&amp;field=134&amp;date=28.06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28.06.2022" TargetMode="External" /><Relationship Id="rId6" Type="http://schemas.openxmlformats.org/officeDocument/2006/relationships/hyperlink" Target="https://login.consultant.ru/link/?req=doc&amp;demo=2&amp;base=LAW&amp;n=412702&amp;dst=103245&amp;field=134&amp;date=28.06.2022" TargetMode="External" /><Relationship Id="rId7" Type="http://schemas.openxmlformats.org/officeDocument/2006/relationships/hyperlink" Target="https://login.consultant.ru/link/?req=doc&amp;demo=2&amp;base=LAW&amp;n=412702&amp;dst=102592&amp;field=134&amp;date=28.06.2022" TargetMode="External" /><Relationship Id="rId8" Type="http://schemas.openxmlformats.org/officeDocument/2006/relationships/hyperlink" Target="https://login.consultant.ru/link/?req=doc&amp;demo=2&amp;base=LAW&amp;n=412702&amp;dst=1933&amp;field=134&amp;date=28.06.2022" TargetMode="External" /><Relationship Id="rId9" Type="http://schemas.openxmlformats.org/officeDocument/2006/relationships/hyperlink" Target="https://login.consultant.ru/link/?req=doc&amp;demo=2&amp;base=LAW&amp;n=412702&amp;dst=102605&amp;field=134&amp;date=28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