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3B3ACC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3B3ACC">
        <w:rPr>
          <w:sz w:val="27"/>
          <w:szCs w:val="27"/>
        </w:rPr>
        <w:fldChar w:fldCharType="separate"/>
      </w:r>
      <w:r w:rsidR="00933E42">
        <w:rPr>
          <w:noProof/>
          <w:sz w:val="27"/>
          <w:szCs w:val="27"/>
        </w:rPr>
        <w:t>164</w:t>
      </w:r>
      <w:r w:rsidRPr="001B4075" w:rsidR="003B3ACC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25572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5572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55721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933E42">
        <w:rPr>
          <w:noProof/>
          <w:sz w:val="27"/>
          <w:szCs w:val="27"/>
        </w:rPr>
        <w:t>05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01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255721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3B3ACC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3B3ACC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3B3ACC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3B3ACC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3B3ACC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3B3ACC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255721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255721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721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3ACC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