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д.7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ело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.5 ст.12.15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sz w:val="28"/>
          <w:szCs w:val="28"/>
        </w:rPr>
        <w:t>06536790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Ахметова </w:t>
      </w:r>
      <w:r>
        <w:rPr>
          <w:rStyle w:val="cat-UserDefinedgrp-23rplc-6"/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1608736279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Ахметов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подвергнутым административному наказанию по ч.4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14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повторно в течение одного года совершил аналогичное правонарушение,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Нижнекамском районе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Ахметов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автомобилем </w:t>
      </w:r>
      <w:r>
        <w:rPr>
          <w:rStyle w:val="cat-CarMakeModelgrp-21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зоне действия дорожного знака 3.20 («Обгон запрещен»)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обгон автомашины с выездом на сторону проезжей части дороги, предназначенной для встречного движения, нарушив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п.1.3 ПДД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Ахметов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причиной нарушения явилась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невнимательность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Ахметова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Ахметов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Style w:val="cat-Addressgrp-6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видеозаписью, из которой следует, что легковой автомобиль </w:t>
      </w:r>
      <w:r>
        <w:rPr>
          <w:rStyle w:val="cat-CarMakeModelgrp-21rplc-2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UserDefinedgrp-24rplc-2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светлого цвета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обгон </w:t>
      </w:r>
      <w:r>
        <w:rPr>
          <w:rFonts w:ascii="Times New Roman" w:eastAsia="Times New Roman" w:hAnsi="Times New Roman" w:cs="Times New Roman"/>
          <w:sz w:val="28"/>
          <w:szCs w:val="28"/>
        </w:rPr>
        <w:t>легкового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цвета в зоне действия дорожного знака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просмотре видеозаписи </w:t>
      </w:r>
      <w:r>
        <w:rPr>
          <w:rFonts w:ascii="Times New Roman" w:eastAsia="Times New Roman" w:hAnsi="Times New Roman" w:cs="Times New Roman"/>
          <w:sz w:val="28"/>
          <w:szCs w:val="28"/>
        </w:rPr>
        <w:t>Ахметов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подтвердил, что это его автомобиль совершает обгон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</w:t>
      </w:r>
      <w:r>
        <w:rPr>
          <w:rStyle w:val="cat-Addressgrp-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которой следует, что в направлении </w:t>
      </w:r>
      <w:r>
        <w:rPr>
          <w:rStyle w:val="cat-Addressgrp-7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70 км 203 м установлен дорожный знак «3.20», зона действия которого распространяется вплоть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поворота на </w:t>
      </w:r>
      <w:r>
        <w:rPr>
          <w:rStyle w:val="cat-Addressgrp-8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2022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Ахметов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по ч.4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с наложением штрафа в размере 5000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14 марта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п.1.3. ПДД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Ахметова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ст.12.15 Кодекса Российской Федерации об административных правонарушениях (выезд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совершенное повторно в течение одного года).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признания деяния </w:t>
      </w:r>
      <w:r>
        <w:rPr>
          <w:rFonts w:ascii="Times New Roman" w:eastAsia="Times New Roman" w:hAnsi="Times New Roman" w:cs="Times New Roman"/>
          <w:sz w:val="28"/>
          <w:szCs w:val="28"/>
        </w:rPr>
        <w:t>малозначительным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прекращения производства по делу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 принимает во внимание личность лица, привлекаемого к административной ответственности.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ст.12.15 ч.5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Ахметова </w:t>
      </w:r>
      <w:r>
        <w:rPr>
          <w:rStyle w:val="cat-UserDefinedgrp-23rplc-36"/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.5 ст.12.15 Кодекса Российской Федерации об административных правонарушениях,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права управления транспортными средствами на срок один год.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pStyle w:val="Heading1"/>
        <w:tabs>
          <w:tab w:val="left" w:pos="5985"/>
        </w:tabs>
        <w:spacing w:before="0" w:after="0"/>
        <w:ind w:right="283" w:firstLine="851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CarMakeModelgrp-21rplc-17">
    <w:name w:val="cat-CarMakeModel grp-21 rplc-17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CarMakeModelgrp-21rplc-24">
    <w:name w:val="cat-CarMakeModel grp-21 rplc-24"/>
    <w:basedOn w:val="DefaultParagraphFont"/>
  </w:style>
  <w:style w:type="character" w:customStyle="1" w:styleId="cat-UserDefinedgrp-24rplc-25">
    <w:name w:val="cat-UserDefined grp-24 rplc-25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Addressgrp-7rplc-28">
    <w:name w:val="cat-Address grp-7 rplc-28"/>
    <w:basedOn w:val="DefaultParagraphFont"/>
  </w:style>
  <w:style w:type="character" w:customStyle="1" w:styleId="cat-Addressgrp-8rplc-29">
    <w:name w:val="cat-Address grp-8 rplc-29"/>
    <w:basedOn w:val="DefaultParagraphFont"/>
  </w:style>
  <w:style w:type="character" w:customStyle="1" w:styleId="cat-UserDefinedgrp-23rplc-36">
    <w:name w:val="cat-UserDefined grp-23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