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357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01739517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9920702505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Ахметову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Style w:val="cat-CarMakeModelgrp-25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Ахметов Л.Ф.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Style w:val="cat-CarMakeModelgrp-25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182649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Л.Ф. отказался,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что следует из акта освидетельствования на состояние алкогольного опьянения 16 АО 152581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при помощи алкотектора «Юпитер»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проехать в медицинское учреждение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ИДПС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автомобиль </w:t>
      </w:r>
      <w:r>
        <w:rPr>
          <w:rStyle w:val="cat-CarMakeModelgrp-25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Ахметова Л.Ф. Ахметов Л.Ф.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при помощи алкотектора «Юпитер» и проехать в медицинское учреждение для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Л.Ф.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</w:t>
      </w:r>
      <w:r>
        <w:rPr>
          <w:rStyle w:val="cat-UserDefinedgrp-33rplc-47"/>
          <w:rFonts w:ascii="Times New Roman" w:eastAsia="Times New Roman" w:hAnsi="Times New Roman" w:cs="Times New Roman"/>
          <w:sz w:val="28"/>
          <w:szCs w:val="28"/>
        </w:rPr>
        <w:t>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наложить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232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567"/>
        <w:rPr>
          <w:sz w:val="28"/>
          <w:szCs w:val="28"/>
        </w:rPr>
      </w:pPr>
    </w:p>
    <w:p>
      <w:pPr>
        <w:spacing w:before="0" w:after="0"/>
        <w:ind w:left="284" w:right="425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5rplc-16">
    <w:name w:val="cat-CarMakeModel grp-25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CarMakeModelgrp-25rplc-26">
    <w:name w:val="cat-CarMakeModel grp-25 rplc-26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CarMakeModelgrp-25rplc-38">
    <w:name w:val="cat-CarMakeModel grp-25 rplc-38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3rplc-47">
    <w:name w:val="cat-UserDefined grp-3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