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Абукаева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И.Б.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проживающего в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Абукаев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д.3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>, сообщив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телефону «112"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недостоверные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кто-то хочет убить, на него охотятся и уже убили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И.Б.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Абукаева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Абукаев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Fonts w:ascii="Times New Roman" w:eastAsia="Times New Roman" w:hAnsi="Times New Roman" w:cs="Times New Roman"/>
          <w:sz w:val="28"/>
          <w:szCs w:val="28"/>
        </w:rPr>
        <w:t>Абукаева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eastAsia="Times New Roman" w:hAnsi="Times New Roman" w:cs="Times New Roman"/>
          <w:sz w:val="28"/>
          <w:szCs w:val="28"/>
        </w:rPr>
        <w:t>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«112» 17 апреля 2022 г. в 21 час 25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>что кто-то хочет убить, на него охотятся и уже убили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Абукаева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тот день он злоупо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реблял спиртными напитками, позвонил в полицию, совершил ложный вызов сотрудников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ПДН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Нижнекамскому району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Абукаева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правонарушения по ст.19.13 КоАП РФ.</w:t>
      </w:r>
    </w:p>
    <w:p>
      <w:pPr>
        <w:widowControl w:val="0"/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Абукаева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(заведомо ложный вызов пожарной охраны, полиции, скорой медицинской помощи или иных специализированных служб).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оснований для прекращения дела не усматривает, 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Абукаева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Абукаева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И.Б.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ст.19.13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585077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73111601193010013140,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UserDefinedgrp-24rplc-30">
    <w:name w:val="cat-UserDefined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