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 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«Положение об особенностях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и выплаты в 2021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РФ от 30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2375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г. не представлены недостающие документы (сведения) в Филиал № 11 ГУ-РО ФСС РФ по РТ по уведомлению </w:t>
      </w:r>
      <w:r>
        <w:rPr>
          <w:rFonts w:ascii="Times New Roman" w:eastAsia="Times New Roman" w:hAnsi="Times New Roman" w:cs="Times New Roman"/>
          <w:sz w:val="28"/>
          <w:szCs w:val="28"/>
        </w:rPr>
        <w:t>10557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г. на назначение и выплаты пособия по временной нетрудоспособности (застрахованный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о времени и месте рассмотрения дела извещен надлежащим образом, судебной повесткой по месту жительства,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докладной запиской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назначения и осуществления страховых выплат застрахованным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№11 ГУ – РОФСС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OrganizationNamegrp-23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недостающих документов и сведений на 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>10557 от 9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</w:t>
      </w:r>
      <w:r>
        <w:rPr>
          <w:rFonts w:ascii="Times New Roman" w:eastAsia="Times New Roman" w:hAnsi="Times New Roman" w:cs="Times New Roman"/>
          <w:sz w:val="28"/>
          <w:szCs w:val="28"/>
        </w:rPr>
        <w:t>10557 от 9 декабря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врученного адресату </w:t>
      </w:r>
      <w:r>
        <w:rPr>
          <w:rStyle w:val="cat-OrganizationNamegrp-23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г.;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</w:t>
      </w:r>
      <w:r>
        <w:rPr>
          <w:rStyle w:val="cat-OrganizationNamegrp-23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Татарстан), ИНН 1655003950, КПП 165501001, 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наименование банка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_НБ РЕСПУБЛИКА ТАТАРС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г. Казань//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КБК 393 1 16 01230 07 0000 140, ОКТМО 92644101, УИН -0.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OrganizationNamegrp-23rplc-27">
    <w:name w:val="cat-OrganizationName grp-23 rplc-27"/>
    <w:basedOn w:val="DefaultParagraphFont"/>
  </w:style>
  <w:style w:type="character" w:customStyle="1" w:styleId="cat-OrganizationNamegrp-23rplc-31">
    <w:name w:val="cat-OrganizationName grp-23 rplc-31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UserDefinedgrp-32rplc-36">
    <w:name w:val="cat-UserDefined grp-3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