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6ЕК000</w:t>
      </w:r>
      <w:r>
        <w:rPr>
          <w:rFonts w:ascii="Times New Roman" w:eastAsia="Times New Roman" w:hAnsi="Times New Roman" w:cs="Times New Roman"/>
          <w:sz w:val="28"/>
          <w:szCs w:val="28"/>
        </w:rPr>
        <w:t>21432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Стрелковой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Стрелкова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ЦАФАП </w:t>
      </w:r>
      <w:r>
        <w:rPr>
          <w:rFonts w:ascii="Times New Roman" w:eastAsia="Times New Roman" w:hAnsi="Times New Roman" w:cs="Times New Roman"/>
          <w:sz w:val="28"/>
          <w:szCs w:val="28"/>
        </w:rPr>
        <w:t>по ИАЗ ЦАФАП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>88101162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015347802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15.10.2021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Стрелкова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была извещена посредством почтовой связи,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отложить рассмотрение дела не 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Стрелковой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№18810116211015347802 от 15.10.2021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полученной адресатом почтой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Стрелков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Стрелкову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8016728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№511-207/22.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UserDefinedgrp-25rplc-23">
    <w:name w:val="cat-UserDefined grp-2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