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6ЕК000</w:t>
      </w:r>
      <w:r>
        <w:rPr>
          <w:rFonts w:ascii="Times New Roman" w:eastAsia="Times New Roman" w:hAnsi="Times New Roman" w:cs="Times New Roman"/>
          <w:sz w:val="28"/>
          <w:szCs w:val="28"/>
        </w:rPr>
        <w:t>2143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Стрелковой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Стрелкова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ЦАФАП </w:t>
      </w:r>
      <w:r>
        <w:rPr>
          <w:rFonts w:ascii="Times New Roman" w:eastAsia="Times New Roman" w:hAnsi="Times New Roman" w:cs="Times New Roman"/>
          <w:sz w:val="28"/>
          <w:szCs w:val="28"/>
        </w:rPr>
        <w:t>по ИАЗ ЦАФАП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88101162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7748915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Стрелкова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была извещена посредством почтовой связи,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отложить рассмотрение дела не 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Стрелковой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№18810116211017748915 от 17.10.2021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адресатом почтой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Стрелков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Стрелкову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8016</w:t>
      </w:r>
      <w:r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№511-20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5rplc-23">
    <w:name w:val="cat-UserDefined grp-2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