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ст.7.27 ч.1 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одну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Голубое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озеро» 40%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об. 0,5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415,83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протоколом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>при просмотре видеозаписи с камер наблюдения было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 марта 2022 г. в 16 часов 27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бутылку водки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Голубое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озеро» 40% об. 0,5 л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415,83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, спрята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товар под одежду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пронеся через кассу, 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у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бутылки водки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Голубое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озеро» 40% об. 0,5 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 установлено состояние алкогольного опьянения с результатом 1,031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907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и возврате т</w:t>
      </w:r>
      <w:r>
        <w:rPr>
          <w:rFonts w:ascii="Times New Roman" w:eastAsia="Times New Roman" w:hAnsi="Times New Roman" w:cs="Times New Roman"/>
          <w:sz w:val="28"/>
          <w:szCs w:val="28"/>
        </w:rPr>
        <w:t>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ст.7.27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совершение правонарушения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1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UserDefinedgrp-20rplc-31">
    <w:name w:val="cat-UserDefined grp-2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