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 06369788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Гибадулина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9913569205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Гибадулин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Гибадулин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к922от716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дорожной разметки 1.1.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Гибадулин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начал совершать обгон при прерывистой разметке, </w:t>
      </w:r>
      <w:r>
        <w:rPr>
          <w:rFonts w:ascii="Times New Roman" w:eastAsia="Times New Roman" w:hAnsi="Times New Roman" w:cs="Times New Roman"/>
          <w:sz w:val="28"/>
          <w:szCs w:val="28"/>
        </w:rPr>
        <w:t>знак заметил потом, обгоняемый автомобиль не впустил в «кармашек», из-за чего пришлось завершить обгон при прерывистой линии разметки.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Гибадулина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Д.Р.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Гибадулин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Д.Р.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 со схемой нарушения, из которой следует, что т/с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>другого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сторону проезжей части дороги, предназначенной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завершает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дорожного знака 3.20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разметки 1.1. ПДД РФ.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Гибадулин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 ознакомлен;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>другого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 октября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Гибадулин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абз.4 п.п. 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» п.15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лица, выехавшего на полосу, предназначенную для встречного движения, с соблюдением требований ПДД РФ, однако завершившего данный маневр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указанных требований, также подлежат квалификации по части 4 статьи 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Гибадулина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Гибадулина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6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22rplc-36">
    <w:name w:val="cat-UserDefined grp-2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