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электромонтажником в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Глобус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 тайно похитил вино игристое «Барселона» 0,75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397,50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мужчину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 игристого «Барселона» 0,75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шт. стоимостью 397,50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просмотре видео обнаружила,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января 2022 г. в 18 часов 49 минут </w:t>
      </w:r>
      <w:r>
        <w:rPr>
          <w:rFonts w:ascii="Times New Roman" w:eastAsia="Times New Roman" w:hAnsi="Times New Roman" w:cs="Times New Roman"/>
          <w:sz w:val="28"/>
          <w:szCs w:val="28"/>
        </w:rPr>
        <w:t>мужчина взял с прилавка товар – вино игристое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прятал под куртку, </w:t>
      </w:r>
      <w:r>
        <w:rPr>
          <w:rFonts w:ascii="Times New Roman" w:eastAsia="Times New Roman" w:hAnsi="Times New Roman" w:cs="Times New Roman"/>
          <w:sz w:val="28"/>
          <w:szCs w:val="28"/>
        </w:rPr>
        <w:t>после чего взял еще бутылку, подошел к кассовой зоне, оставил бутылку и ушел, а вторую бутылку из под куртки не вытащил.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мужчина опять зашел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 примерно в 19 часов 56 минут 12 января 2022 г., после чего была вызвана ГБ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видеозаписями, произведенными в торговом зале,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</w:rPr>
        <w:t>взял с прилавка товар – вино игристое, спрятал под куртку, после чего взял еще бутылку, подошел к кассовой зоне, оставил бутылку и ушел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center" w:pos="4947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 считает необходимым назначить наказание в виде административного 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UserDefinedgrp-20rplc-31">
    <w:name w:val="cat-UserDefined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