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241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3/</w:t>
      </w:r>
      <w:r>
        <w:rPr>
          <w:rFonts w:ascii="Times New Roman" w:eastAsia="Times New Roman" w:hAnsi="Times New Roman" w:cs="Times New Roman"/>
          <w:sz w:val="26"/>
          <w:szCs w:val="26"/>
        </w:rPr>
        <w:t>2022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16MS0059-01-2021-</w:t>
      </w:r>
      <w:r>
        <w:rPr>
          <w:rFonts w:ascii="Times New Roman" w:eastAsia="Times New Roman" w:hAnsi="Times New Roman" w:cs="Times New Roman"/>
          <w:sz w:val="26"/>
          <w:szCs w:val="26"/>
        </w:rPr>
        <w:t>001273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Dategrp-6rplc-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Набережные Челны Республики Татарстан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3 по судебному району г.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Набережные Челны Республики Татарстан Султеева Г.И., рассмотрев в зале суда N 8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статьёй 15.33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частью 2 Кодекса Российской Федерации об административных правонарушениях, в отношении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FIOgrp-13rplc-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родившегося </w:t>
      </w:r>
      <w:r>
        <w:rPr>
          <w:rStyle w:val="cat-Dategrp-7rplc-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2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по адресу: </w:t>
      </w:r>
      <w:r>
        <w:rPr>
          <w:rStyle w:val="cat-Addressgrp-3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директором </w:t>
      </w:r>
      <w:r>
        <w:rPr>
          <w:rStyle w:val="cat-OrganizationNamegrp-20rplc-1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OrganizationNamegrp-21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расположенное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Набережные Челны Республики Татарстан, </w:t>
      </w:r>
      <w:r>
        <w:rPr>
          <w:rStyle w:val="cat-Addressgrp-5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руководителем которого является </w:t>
      </w: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законодательством Российской Федерации об обязательном социальном страховании на случай временной нетрудос</w:t>
      </w:r>
      <w:r>
        <w:rPr>
          <w:rFonts w:ascii="Times New Roman" w:eastAsia="Times New Roman" w:hAnsi="Times New Roman" w:cs="Times New Roman"/>
          <w:sz w:val="26"/>
          <w:szCs w:val="26"/>
        </w:rPr>
        <w:t>пособности застрахованного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территориальный орган Фонда социального страхования Российской Федерации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запросу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8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недостающие документы для нач</w:t>
      </w:r>
      <w:r>
        <w:rPr>
          <w:rFonts w:ascii="Times New Roman" w:eastAsia="Times New Roman" w:hAnsi="Times New Roman" w:cs="Times New Roman"/>
          <w:sz w:val="26"/>
          <w:szCs w:val="26"/>
        </w:rPr>
        <w:t>исления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выплаты страхового обеспечения по обязательному социальному страхованию на случай временной нетрудоспосо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бности и в связи с материнством </w:t>
      </w:r>
      <w:r>
        <w:rPr>
          <w:rStyle w:val="cat-FIOgrp-15rplc-1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FIOgrp-14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был извещен заказным письмом с уведомлением по адресу регистрации, в суд не явился, о причинах неявки не сообщил, ходатайств не заявил. Суд считает возможным рассмотреть дело в его отсутствие.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пунктом 10 Положения "Об утверждении Правил получения Фондом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ребенком", утвержденного Постановлением Правительства РФ от </w:t>
      </w:r>
      <w:r>
        <w:rPr>
          <w:rStyle w:val="cat-Dategrp-9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N2010, в случае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представления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в полном объеме страховщику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сведений 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документов</w:t>
      </w:r>
      <w:r>
        <w:rPr>
          <w:rFonts w:ascii="Times New Roman" w:eastAsia="Times New Roman" w:hAnsi="Times New Roman" w:cs="Times New Roman"/>
          <w:sz w:val="26"/>
          <w:szCs w:val="26"/>
        </w:rPr>
        <w:t>, необходимых для назначения и выплаты пособия, страховщик в течение 5 рабочих дней со дня их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вручает страхователю либо в случаях, указанных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пунктах 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настоящих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Правил, застрахованному лицу (лицу, добровольно вступившему в правоотношения по обязательному социальному страхованию на случай временной нетрудоспособности и в связи с материнством) под расписку либо направляет в электронной форме 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почте заказным письмом извещение о представлении недостающих сведений 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документов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по форме, утверждаемой страховщиком.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533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15.33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 </w:t>
      </w:r>
      <w:r>
        <w:rPr>
          <w:rFonts w:ascii="Times New Roman" w:eastAsia="Times New Roman" w:hAnsi="Times New Roman" w:cs="Times New Roman"/>
          <w:sz w:val="26"/>
          <w:szCs w:val="26"/>
        </w:rPr>
        <w:t>-в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лечет наложение административного штрафа на должностных лиц в размере от трехсот до </w:t>
      </w:r>
      <w:r>
        <w:rPr>
          <w:rStyle w:val="cat-SumInWordsgrp-18rplc-22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 2.4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6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материалами дела 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80936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где отражена сущность правонарушения, докладной запиской о выявлении правонарушения,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извещением о представлении недостающих документов,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документами</w:t>
      </w:r>
      <w:r>
        <w:rPr>
          <w:rFonts w:ascii="Times New Roman" w:eastAsia="Times New Roman" w:hAnsi="Times New Roman" w:cs="Times New Roman"/>
          <w:sz w:val="26"/>
          <w:szCs w:val="26"/>
        </w:rPr>
        <w:t>, подтверждающими направление, выпиской из ЕГРЮЛ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прекращения производства по делу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 руководствуется общими правилами назначения административного наказания, предусмотренными </w:t>
      </w:r>
      <w:hyperlink r:id="rId4" w:anchor="/document/12125267/entry/4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ст.4.1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наказание правонарушителя, судом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наказание, суд признает совершение правонарушения впервые.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требований </w:t>
      </w:r>
      <w:hyperlink r:id="rId4" w:anchor="/document/12125267/entry/4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статьи 4.1.1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настоящего Кодекса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4" w:anchor="/document/12125267/entry/34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2 статьи 3.4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за исключением случаев, предусмотренных частью 2 настоящей статьи.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hyperlink r:id="rId4" w:anchor="/document/12125267/entry/34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2 ст. 3.4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установлено,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судом при рассмотрении дела установлены обстоятельства, предусмотренные </w:t>
      </w:r>
      <w:hyperlink r:id="rId4" w:anchor="/document/12125267/entry/34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2 статьи 3.4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(правонарушение совершено впервые, угрозы вреда жизни и здоровью людей, имущественного ущерба нет).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hyperlink r:id="rId4" w:anchor="/document/12154854/entry/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статьи 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11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 209-ФЗ "О развитии малого и среднего предпринимательства в Российской Федерации" (далее - </w:t>
      </w:r>
      <w:hyperlink r:id="rId4" w:anchor="/document/12154854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ФЗ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"О развитии малого и среднего предпринимательства в РФ") субъекты малого и среднего предпринимательства - это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</w:t>
      </w:r>
      <w:r>
        <w:rPr>
          <w:rFonts w:ascii="Times New Roman" w:eastAsia="Times New Roman" w:hAnsi="Times New Roman" w:cs="Times New Roman"/>
          <w:sz w:val="26"/>
          <w:szCs w:val="26"/>
        </w:rPr>
        <w:t>микропредприятиям</w:t>
      </w:r>
      <w:r>
        <w:rPr>
          <w:rFonts w:ascii="Times New Roman" w:eastAsia="Times New Roman" w:hAnsi="Times New Roman" w:cs="Times New Roman"/>
          <w:sz w:val="26"/>
          <w:szCs w:val="26"/>
        </w:rPr>
        <w:t>,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средним предприятиям.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реестру субъектов малого и среднего предпринимательства, размещенному на сайте Федеральной налоговой службы https://mrsp.nalog.ru/search.html, </w:t>
      </w:r>
      <w:r>
        <w:rPr>
          <w:rStyle w:val="cat-OrganizationNamegrp-21rplc-2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микропредприятием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данном случае суд усматривает основания для применения </w:t>
      </w:r>
      <w:hyperlink r:id="rId4" w:anchor="/document/12125267/entry/4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4.1.1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и для замены административного наказания в виде административного штрафа на предупреждение.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29.9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29.10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Style w:val="cat-FIOgrp-13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533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4 статьи 15.33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назначить наказание в виде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Style w:val="cat-SumInWordsgrp-19rplc-28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, заменив его в порядке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части 1 статьи 4.1.1 Кодекса Российской Федерации об административных правонарушениях на предупреждение.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Набережночелнинский городской суд в течение 10 суток со дня вручения или получения копии постановления через мирового судью либо непосредственно в суд, уполномоченный рассматривать жалобу.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Г.И.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Султеева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Копия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постанов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верна.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</w:p>
    <w:sectPr>
      <w:headerReference w:type="default" r:id="rId5"/>
      <w:foot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231187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Dategrp-6rplc-2">
    <w:name w:val="cat-Date grp-6 rplc-2"/>
    <w:basedOn w:val="DefaultParagraphFont"/>
  </w:style>
  <w:style w:type="character" w:customStyle="1" w:styleId="cat-FIOgrp-13rplc-8">
    <w:name w:val="cat-FIO grp-13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OrganizationNamegrp-20rplc-13">
    <w:name w:val="cat-OrganizationName grp-20 rplc-13"/>
    <w:basedOn w:val="DefaultParagraphFont"/>
  </w:style>
  <w:style w:type="character" w:customStyle="1" w:styleId="cat-OrganizationNamegrp-21rplc-14">
    <w:name w:val="cat-OrganizationName grp-21 rplc-14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SumInWordsgrp-18rplc-22">
    <w:name w:val="cat-SumInWords grp-18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OrganizationNamegrp-21rplc-26">
    <w:name w:val="cat-OrganizationName grp-21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SumInWordsgrp-19rplc-28">
    <w:name w:val="cat-SumInWords grp-1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453F8-50F1-460C-9712-9FB5EE1DC6A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