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3/</w:t>
      </w:r>
      <w:r>
        <w:rPr>
          <w:rFonts w:ascii="Times New Roman" w:eastAsia="Times New Roman" w:hAnsi="Times New Roman" w:cs="Times New Roman"/>
        </w:rPr>
        <w:t>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</w:t>
      </w:r>
      <w:r>
        <w:rPr>
          <w:rStyle w:val="cat-PhoneNumbergrp-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Style w:val="cat-Dategrp-6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cat-Addressgrp-0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>статьёй 15.33</w:t>
        </w:r>
      </w:hyperlink>
      <w:r>
        <w:rPr>
          <w:rFonts w:ascii="Times New Roman" w:eastAsia="Times New Roman" w:hAnsi="Times New Roman" w:cs="Times New Roman"/>
        </w:rPr>
        <w:t xml:space="preserve"> частью 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5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родившегося </w:t>
      </w: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Style w:val="cat-ExternalSystemDefinedgrp-2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г. </w:t>
      </w:r>
      <w:r>
        <w:rPr>
          <w:rStyle w:val="cat-Addressgrp-0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работающей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установила:</w:t>
      </w:r>
    </w:p>
    <w:p>
      <w:pPr>
        <w:spacing w:before="0" w:after="0"/>
        <w:ind w:firstLine="567"/>
        <w:jc w:val="both"/>
      </w:pPr>
      <w:r>
        <w:rPr>
          <w:rStyle w:val="cat-OrganizationNamegrp-19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расположенное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Style w:val="cat-Addressgrp-0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руководителем которого является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не представило</w:t>
      </w:r>
      <w:r>
        <w:rPr>
          <w:rFonts w:ascii="Times New Roman" w:eastAsia="Times New Roman" w:hAnsi="Times New Roman" w:cs="Times New Roman"/>
        </w:rPr>
        <w:t xml:space="preserve"> в филиал N 9 ГУ-РОФСС РФ по РТ расчет по начисленным и уплаченным </w:t>
      </w:r>
      <w:r>
        <w:rPr>
          <w:rFonts w:ascii="Times New Roman" w:eastAsia="Times New Roman" w:hAnsi="Times New Roman" w:cs="Times New Roman"/>
        </w:rPr>
        <w:t>страховым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взносам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Расчёт фактически представлен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был извещен заказным письмом с уведомлением по адресу регистрации, в суд не явился, о причинах неявки не сообщил, ходатайств не заявил. Суд считает возможным рассмотреть дело в его отсутствие.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 правилам абзаца 2 части 1 статьи 24 Федерального закона от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/document/71514306/entry/1000" w:history="1">
        <w:r>
          <w:rPr>
            <w:rFonts w:ascii="Times New Roman" w:eastAsia="Times New Roman" w:hAnsi="Times New Roman" w:cs="Times New Roman"/>
            <w:color w:val="0000EE"/>
          </w:rPr>
          <w:t>форме</w:t>
        </w:r>
      </w:hyperlink>
      <w:r>
        <w:rPr>
          <w:rFonts w:ascii="Times New Roman" w:eastAsia="Times New Roman" w:hAnsi="Times New Roman" w:cs="Times New Roman"/>
        </w:rPr>
        <w:t>, установленной страховщиком по согласованию с федеральным органом исполнительной власти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Частью 2 статьи 15.33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Roboto" w:eastAsia="Roboto" w:hAnsi="Roboto" w:cs="Roboto"/>
        </w:rPr>
        <w:t xml:space="preserve">предусмотрена ответственность за нарушение установленных </w:t>
      </w:r>
      <w:hyperlink r:id="rId5" w:anchor="/document/12112505/entry/24" w:history="1">
        <w:r>
          <w:rPr>
            <w:rFonts w:ascii="Roboto" w:eastAsia="Roboto" w:hAnsi="Roboto" w:cs="Roboto"/>
            <w:color w:val="0000EE"/>
            <w:u w:val="single" w:color="0000EE"/>
          </w:rPr>
          <w:t>законодательством</w:t>
        </w:r>
      </w:hyperlink>
      <w:r>
        <w:rPr>
          <w:rFonts w:ascii="Roboto" w:eastAsia="Roboto" w:hAnsi="Roboto" w:cs="Roboto"/>
        </w:rPr>
        <w:t xml:space="preserve"> Российской Федерации об обязательном социальном страховании от несчастных случаев на производстве</w:t>
      </w:r>
      <w:r>
        <w:rPr>
          <w:rFonts w:ascii="Roboto" w:eastAsia="Roboto" w:hAnsi="Roboto" w:cs="Roboto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подтверждается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102847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1), докладной запиской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>), актом камеральной проверки</w:t>
      </w:r>
      <w:r>
        <w:rPr>
          <w:rFonts w:ascii="Times New Roman" w:eastAsia="Times New Roman" w:hAnsi="Times New Roman" w:cs="Times New Roman"/>
        </w:rPr>
        <w:t xml:space="preserve"> (л.д.5</w:t>
      </w:r>
      <w:r>
        <w:rPr>
          <w:rFonts w:ascii="Times New Roman" w:eastAsia="Times New Roman" w:hAnsi="Times New Roman" w:cs="Times New Roman"/>
        </w:rPr>
        <w:t>-6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считает, что вина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доказана 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квалифицирует по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части 2 статьи 15.33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color w:val="0000EE"/>
          </w:rPr>
          <w:t>ст.4.1</w:t>
        </w:r>
      </w:hyperlink>
      <w:r>
        <w:rPr>
          <w:rFonts w:ascii="Times New Roman" w:eastAsia="Times New Roman" w:hAnsi="Times New Roman" w:cs="Times New Roman"/>
        </w:rPr>
        <w:t xml:space="preserve"> КоАП РФ, учитывает характер </w:t>
      </w:r>
      <w:r>
        <w:rPr>
          <w:rFonts w:ascii="Times New Roman" w:eastAsia="Times New Roman" w:hAnsi="Times New Roman" w:cs="Times New Roman"/>
        </w:rPr>
        <w:t>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наказание правонарушителя,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наказание, суд признает совершение правонарушения впервые.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</w:t>
      </w:r>
      <w:hyperlink r:id="rId4" w:anchor="/document/12125267/entry/411" w:history="1">
        <w:r>
          <w:rPr>
            <w:rFonts w:ascii="Times New Roman" w:eastAsia="Times New Roman" w:hAnsi="Times New Roman" w:cs="Times New Roman"/>
            <w:color w:val="0000EE"/>
          </w:rPr>
          <w:t>статьи 4.1.1</w:t>
        </w:r>
      </w:hyperlink>
      <w:r>
        <w:rPr>
          <w:rFonts w:ascii="Times New Roman" w:eastAsia="Times New Roman" w:hAnsi="Times New Roman" w:cs="Times New Roman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настоящего Кодекса</w:t>
        </w:r>
      </w:hyperlink>
      <w:r>
        <w:rPr>
          <w:rFonts w:ascii="Times New Roman" w:eastAsia="Times New Roman" w:hAnsi="Times New Roman" w:cs="Times New Roman"/>
        </w:rPr>
        <w:t xml:space="preserve"> или</w:t>
      </w:r>
      <w:r>
        <w:rPr>
          <w:rFonts w:ascii="Times New Roman" w:eastAsia="Times New Roman" w:hAnsi="Times New Roman" w:cs="Times New Roman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567"/>
        <w:jc w:val="both"/>
      </w:pP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</w:rPr>
          <w:t>Ч. 2 ст. 3.4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2154854/entry/3" w:history="1">
        <w:r>
          <w:rPr>
            <w:rFonts w:ascii="Times New Roman" w:eastAsia="Times New Roman" w:hAnsi="Times New Roman" w:cs="Times New Roman"/>
            <w:color w:val="0000EE"/>
          </w:rPr>
          <w:t>статьи 3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209-ФЗ "О развитии малого и среднего предпринимательства в Российской Федерации" (далее - </w:t>
      </w:r>
      <w:hyperlink r:id="rId4" w:anchor="/document/12154854/entry/0" w:history="1">
        <w:r>
          <w:rPr>
            <w:rFonts w:ascii="Times New Roman" w:eastAsia="Times New Roman" w:hAnsi="Times New Roman" w:cs="Times New Roman"/>
            <w:color w:val="0000EE"/>
          </w:rPr>
          <w:t>ФЗ</w:t>
        </w:r>
      </w:hyperlink>
      <w:r>
        <w:rPr>
          <w:rFonts w:ascii="Times New Roman" w:eastAsia="Times New Roman" w:hAnsi="Times New Roman" w:cs="Times New Roman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>
        <w:rPr>
          <w:rFonts w:ascii="Times New Roman" w:eastAsia="Times New Roman" w:hAnsi="Times New Roman" w:cs="Times New Roman"/>
        </w:rPr>
        <w:t>микропредприятиям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 средним предприятиям.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реестру субъектов малого и среднего предпринимательства, размещенному на сайте Федеральной налоговой службы https://mrsp.nalog.ru/search.html, </w:t>
      </w:r>
      <w:r>
        <w:rPr>
          <w:rStyle w:val="cat-OrganizationNamegrp-19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микропредприятием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данном случае суд усматривает основания для применения </w:t>
      </w:r>
      <w:hyperlink r:id="rId4" w:anchor="/document/12125267/entry/411" w:history="1">
        <w:r>
          <w:rPr>
            <w:rFonts w:ascii="Times New Roman" w:eastAsia="Times New Roman" w:hAnsi="Times New Roman" w:cs="Times New Roman"/>
            <w:color w:val="0000EE"/>
          </w:rPr>
          <w:t>ст. 4.1.1</w:t>
        </w:r>
      </w:hyperlink>
      <w:r>
        <w:rPr>
          <w:rFonts w:ascii="Times New Roman" w:eastAsia="Times New Roman" w:hAnsi="Times New Roman" w:cs="Times New Roman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</w:rPr>
          <w:t>ст.ст.29.9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</w:rPr>
          <w:t>29.10</w:t>
        </w:r>
      </w:hyperlink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вынесения в Набережночелнинский городской суд </w:t>
      </w:r>
      <w:r>
        <w:rPr>
          <w:rStyle w:val="cat-Addressgrp-5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  <w:i/>
          <w:iCs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</w:t>
      </w:r>
      <w:r>
        <w:rPr>
          <w:rFonts w:ascii="Times New Roman" w:eastAsia="Times New Roman" w:hAnsi="Times New Roman" w:cs="Times New Roman"/>
          <w:i/>
          <w:iCs/>
        </w:rPr>
        <w:t xml:space="preserve"> постанов</w:t>
      </w:r>
      <w:r>
        <w:rPr>
          <w:rFonts w:ascii="Times New Roman" w:eastAsia="Times New Roman" w:hAnsi="Times New Roman" w:cs="Times New Roman"/>
          <w:i/>
          <w:iCs/>
        </w:rPr>
        <w:t>л</w:t>
      </w:r>
      <w:r>
        <w:rPr>
          <w:rFonts w:ascii="Times New Roman" w:eastAsia="Times New Roman" w:hAnsi="Times New Roman" w:cs="Times New Roman"/>
          <w:i/>
          <w:iCs/>
        </w:rPr>
        <w:t>ения</w:t>
      </w:r>
      <w:r>
        <w:rPr>
          <w:rFonts w:ascii="Times New Roman" w:eastAsia="Times New Roman" w:hAnsi="Times New Roman" w:cs="Times New Roman"/>
          <w:i/>
          <w:iCs/>
        </w:rPr>
        <w:t xml:space="preserve">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sectPr>
      <w:headerReference w:type="default" r:id="rId6"/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39874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OrganizationNamegrp-19rplc-29">
    <w:name w:val="cat-OrganizationName grp-19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FIOgrp-17rplc-32">
    <w:name w:val="cat-FIO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14128-1A15-47D3-8FB8-D7980413CF3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