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001267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 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Республики Татарстан </w:t>
      </w:r>
      <w:r>
        <w:rPr>
          <w:rFonts w:ascii="Times New Roman" w:eastAsia="Times New Roman" w:hAnsi="Times New Roman" w:cs="Times New Roman"/>
        </w:rPr>
        <w:t>Султеева Г.И.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статьёй 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6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Dategrp-9rplc-9"/>
          <w:rFonts w:ascii="Times New Roman" w:eastAsia="Times New Roman" w:hAnsi="Times New Roman" w:cs="Times New Roman"/>
        </w:rPr>
        <w:t>дата</w:t>
      </w:r>
      <w:r>
        <w:rPr>
          <w:rStyle w:val="cat-ExternalSystem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гор.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 по адресу: город Набережные Челны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Республики Татарстан,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директором </w:t>
      </w:r>
      <w:r>
        <w:rPr>
          <w:rStyle w:val="cat-OrganizationNamegrp-21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567"/>
        <w:jc w:val="both"/>
      </w:pPr>
      <w:r>
        <w:rPr>
          <w:rStyle w:val="cat-OrganizationNamegrp-22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по адресу: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Набережные Челны,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руководителем которого является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, не представило по 00.00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Инспекцию Федеральной налоговой службы по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расчёт по страховым взносам за </w:t>
      </w:r>
      <w:r>
        <w:rPr>
          <w:rStyle w:val="cat-Addressgrp-7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чем нарушило срок, установленный </w:t>
      </w:r>
      <w:hyperlink r:id="rId4" w:anchor="/document/10900200/entry/1745" w:history="1">
        <w:r>
          <w:rPr>
            <w:rFonts w:ascii="Times New Roman" w:eastAsia="Times New Roman" w:hAnsi="Times New Roman" w:cs="Times New Roman"/>
            <w:color w:val="0000EE"/>
          </w:rPr>
          <w:t>пунктом 5 статьи 174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Федерации: налоговая декларация представлена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судебное рассмотрение дела не явился, извещён судебной повесткой по месту жительства и регистрации ООО,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4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статье 15.5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0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900200/entry/2304" w:history="1">
        <w:r>
          <w:rPr>
            <w:rFonts w:ascii="Times New Roman" w:eastAsia="Times New Roman" w:hAnsi="Times New Roman" w:cs="Times New Roman"/>
            <w:color w:val="0000EE"/>
          </w:rPr>
          <w:t>подпунктом 4 пункта 1 статьи 23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0900200/entry/23005" w:history="1">
        <w:r>
          <w:rPr>
            <w:rFonts w:ascii="Times New Roman" w:eastAsia="Times New Roman" w:hAnsi="Times New Roman" w:cs="Times New Roman"/>
            <w:color w:val="0000EE"/>
          </w:rPr>
          <w:t>пункта 5 статьи 23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>
          <w:rPr>
            <w:rFonts w:ascii="Times New Roman" w:eastAsia="Times New Roman" w:hAnsi="Times New Roman" w:cs="Times New Roman"/>
            <w:color w:val="0000EE"/>
          </w:rPr>
          <w:t>главой 34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</w:t>
      </w:r>
      <w:hyperlink r:id="rId4" w:anchor="/document/10900200/entry/801" w:history="1">
        <w:r>
          <w:rPr>
            <w:rFonts w:ascii="Times New Roman" w:eastAsia="Times New Roman" w:hAnsi="Times New Roman" w:cs="Times New Roman"/>
            <w:color w:val="0000EE"/>
          </w:rPr>
          <w:t>пункт 1 статьи 80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0900200/entry/27001" w:history="1">
        <w:r>
          <w:rPr>
            <w:rFonts w:ascii="Times New Roman" w:eastAsia="Times New Roman" w:hAnsi="Times New Roman" w:cs="Times New Roman"/>
            <w:color w:val="0000EE"/>
          </w:rPr>
          <w:t>пункта 1 статьи 27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пунктом 7 статьи 431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>
        <w:rPr>
          <w:rFonts w:ascii="Times New Roman" w:eastAsia="Times New Roman" w:hAnsi="Times New Roman" w:cs="Times New Roman"/>
        </w:rPr>
        <w:t xml:space="preserve">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 протоколом об административном правонарушении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1650</w:t>
      </w:r>
      <w:r>
        <w:rPr>
          <w:rFonts w:ascii="Times New Roman" w:eastAsia="Times New Roman" w:hAnsi="Times New Roman" w:cs="Times New Roman"/>
        </w:rPr>
        <w:t>2209600459700002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</w:t>
      </w:r>
      <w:r>
        <w:rPr>
          <w:rFonts w:ascii="Times New Roman" w:eastAsia="Times New Roman" w:hAnsi="Times New Roman" w:cs="Times New Roman"/>
        </w:rPr>
        <w:t>-3</w:t>
      </w:r>
      <w:r>
        <w:rPr>
          <w:rFonts w:ascii="Times New Roman" w:eastAsia="Times New Roman" w:hAnsi="Times New Roman" w:cs="Times New Roman"/>
        </w:rPr>
        <w:t xml:space="preserve">), решением от </w:t>
      </w:r>
      <w:r>
        <w:rPr>
          <w:rFonts w:ascii="Times New Roman" w:eastAsia="Times New Roman" w:hAnsi="Times New Roman" w:cs="Times New Roman"/>
        </w:rPr>
        <w:t>11.01</w:t>
      </w:r>
      <w:r>
        <w:rPr>
          <w:rFonts w:ascii="Times New Roman" w:eastAsia="Times New Roman" w:hAnsi="Times New Roman" w:cs="Times New Roman"/>
        </w:rPr>
        <w:t xml:space="preserve"> о привлечении юридического лица к ответственности за налоговое правонарушение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5-7</w:t>
      </w:r>
      <w:r>
        <w:rPr>
          <w:rFonts w:ascii="Times New Roman" w:eastAsia="Times New Roman" w:hAnsi="Times New Roman" w:cs="Times New Roman"/>
        </w:rPr>
        <w:t>) и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 вину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доказанной и его действия квалифицирует по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как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представления расчёта по страховым взносам в</w:t>
      </w:r>
      <w:r>
        <w:rPr>
          <w:rFonts w:ascii="Times New Roman" w:eastAsia="Times New Roman" w:hAnsi="Times New Roman" w:cs="Times New Roman"/>
        </w:rPr>
        <w:t xml:space="preserve">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rPr>
          <w:rFonts w:ascii="Times New Roman" w:eastAsia="Times New Roman" w:hAnsi="Times New Roman" w:cs="Times New Roman"/>
        </w:rPr>
        <w:t>: совершение административного правонарушения впервые</w:t>
      </w:r>
      <w:r>
        <w:rPr>
          <w:rFonts w:ascii="Times New Roman" w:eastAsia="Times New Roman" w:hAnsi="Times New Roman" w:cs="Times New Roman"/>
        </w:rPr>
        <w:t>, и отсутствие обстоятельств, отягчающих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29.9 - 29.10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постановила:</w:t>
      </w:r>
    </w:p>
    <w:p>
      <w:pPr>
        <w:spacing w:before="0" w:after="0"/>
        <w:ind w:firstLine="567"/>
        <w:jc w:val="both"/>
      </w:pP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должностному лицу </w:t>
      </w:r>
      <w:r>
        <w:rPr>
          <w:rStyle w:val="cat-OrganizationNamegrp-23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за совершение административного правонарушения, предусмотренног</w:t>
      </w:r>
      <w:r>
        <w:rPr>
          <w:rFonts w:ascii="Times New Roman" w:eastAsia="Times New Roman" w:hAnsi="Times New Roman" w:cs="Times New Roman"/>
        </w:rPr>
        <w:t xml:space="preserve">о статьёй 15.5 Кодекса </w:t>
      </w:r>
      <w:r>
        <w:rPr>
          <w:rFonts w:ascii="Times New Roman" w:eastAsia="Times New Roman" w:hAnsi="Times New Roman" w:cs="Times New Roman"/>
        </w:rPr>
        <w:t>Российской Федерации об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eastAsia="Times New Roman" w:hAnsi="Times New Roman" w:cs="Times New Roman"/>
        </w:rPr>
        <w:t>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4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Г.И. Султеева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790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6rplc-8">
    <w:name w:val="cat-FIO grp-16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Addressgrp-4rplc-34">
    <w:name w:val="cat-Address grp-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21A7-8362-4EAF-BB07-3CF7B4DF51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