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292AAB">
        <w:rPr>
          <w:color w:val="000000"/>
          <w:sz w:val="28"/>
          <w:szCs w:val="28"/>
        </w:rPr>
        <w:t>173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0010</w:t>
      </w:r>
      <w:r w:rsidR="00292AAB">
        <w:rPr>
          <w:color w:val="000000"/>
          <w:sz w:val="28"/>
          <w:szCs w:val="28"/>
        </w:rPr>
        <w:t>61</w:t>
      </w:r>
      <w:r w:rsidR="00AF44BE">
        <w:rPr>
          <w:color w:val="000000"/>
          <w:sz w:val="28"/>
          <w:szCs w:val="28"/>
        </w:rPr>
        <w:t>-</w:t>
      </w:r>
      <w:r w:rsidR="00292AAB">
        <w:rPr>
          <w:color w:val="000000"/>
          <w:sz w:val="28"/>
          <w:szCs w:val="28"/>
        </w:rPr>
        <w:t>58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Трошина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Алексея Викторовича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8267EA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</w:t>
      </w:r>
      <w:r w:rsidR="00110185">
        <w:rPr>
          <w:iCs/>
          <w:sz w:val="28"/>
          <w:szCs w:val="28"/>
        </w:rPr>
        <w:t xml:space="preserve"> апреля 2022 года в </w:t>
      </w:r>
      <w:r>
        <w:rPr>
          <w:iCs/>
          <w:sz w:val="28"/>
          <w:szCs w:val="28"/>
        </w:rPr>
        <w:t>11</w:t>
      </w:r>
      <w:r w:rsidR="00110185">
        <w:rPr>
          <w:iCs/>
          <w:sz w:val="28"/>
          <w:szCs w:val="28"/>
        </w:rPr>
        <w:t xml:space="preserve"> час</w:t>
      </w:r>
      <w:r w:rsidR="00AC17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00</w:t>
      </w:r>
      <w:r w:rsidR="00110185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Трошин А.В.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8267EA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292AAB">
        <w:rPr>
          <w:iCs/>
          <w:sz w:val="28"/>
          <w:szCs w:val="28"/>
        </w:rPr>
        <w:t>Трошин</w:t>
      </w:r>
      <w:r w:rsidR="00292AAB">
        <w:rPr>
          <w:iCs/>
          <w:sz w:val="28"/>
          <w:szCs w:val="28"/>
        </w:rPr>
        <w:t xml:space="preserve"> А.В.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292AAB" w:rsidRPr="00AF44BE" w:rsidP="00292AA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292AAB">
        <w:rPr>
          <w:rFonts w:ascii="Times New Roman" w:hAnsi="Times New Roman" w:cs="Times New Roman"/>
          <w:iCs/>
          <w:sz w:val="28"/>
          <w:szCs w:val="28"/>
        </w:rPr>
        <w:t>Трошин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92AAB">
        <w:rPr>
          <w:rFonts w:ascii="Times New Roman" w:hAnsi="Times New Roman" w:cs="Times New Roman"/>
          <w:iCs/>
          <w:sz w:val="28"/>
          <w:szCs w:val="28"/>
        </w:rPr>
        <w:t xml:space="preserve"> А.В.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="00C67C9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8267EA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Pr="00292AAB">
        <w:rPr>
          <w:rFonts w:ascii="Times New Roman" w:hAnsi="Times New Roman" w:cs="Times New Roman"/>
          <w:iCs/>
          <w:sz w:val="28"/>
          <w:szCs w:val="28"/>
        </w:rPr>
        <w:t>11 час 00 минут Трошин А.В.  находился в общественном месте: возле дома 8/1 п. ГЭС</w:t>
      </w:r>
      <w:r w:rsidRPr="00292A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2AAB">
        <w:rPr>
          <w:rFonts w:ascii="Times New Roman" w:hAnsi="Times New Roman" w:cs="Times New Roman"/>
          <w:iCs/>
          <w:sz w:val="28"/>
          <w:szCs w:val="28"/>
        </w:rPr>
        <w:t>города</w:t>
      </w:r>
      <w:r w:rsidRPr="00292AAB">
        <w:rPr>
          <w:rFonts w:ascii="Times New Roman" w:hAnsi="Times New Roman" w:cs="Times New Roman"/>
          <w:sz w:val="28"/>
          <w:szCs w:val="28"/>
        </w:rPr>
        <w:t> Набережные Челны Республики Татарстан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67C9F">
        <w:rPr>
          <w:rFonts w:ascii="Times New Roman" w:hAnsi="Times New Roman" w:cs="Times New Roman"/>
          <w:iCs/>
          <w:sz w:val="28"/>
          <w:szCs w:val="28"/>
        </w:rPr>
        <w:t xml:space="preserve">актом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состояние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29.04.2022 у </w:t>
      </w:r>
      <w:r>
        <w:rPr>
          <w:rFonts w:ascii="Times New Roman" w:hAnsi="Times New Roman" w:cs="Times New Roman"/>
          <w:iCs/>
          <w:sz w:val="28"/>
          <w:szCs w:val="28"/>
        </w:rPr>
        <w:t>Трошина А.В.</w:t>
      </w:r>
      <w:r>
        <w:rPr>
          <w:rFonts w:ascii="Times New Roman" w:hAnsi="Times New Roman" w:cs="Times New Roman"/>
          <w:sz w:val="28"/>
          <w:szCs w:val="28"/>
        </w:rPr>
        <w:t xml:space="preserve"> составил 0,231 мг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 0,800 мг/л (л.д.8,9).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92AAB">
        <w:rPr>
          <w:rFonts w:ascii="Times New Roman" w:hAnsi="Times New Roman" w:cs="Times New Roman"/>
          <w:iCs/>
          <w:sz w:val="28"/>
          <w:szCs w:val="28"/>
        </w:rPr>
        <w:t>Трошина А.В.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</w:t>
      </w:r>
      <w:r w:rsidRPr="00AF44BE">
        <w:rPr>
          <w:rFonts w:ascii="Times New Roman" w:hAnsi="Times New Roman" w:cs="Times New Roman"/>
          <w:sz w:val="28"/>
          <w:szCs w:val="28"/>
        </w:rPr>
        <w:t>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Трошина</w:t>
      </w:r>
      <w:r>
        <w:rPr>
          <w:iCs/>
          <w:sz w:val="28"/>
          <w:szCs w:val="28"/>
        </w:rPr>
        <w:t xml:space="preserve"> А.В.</w:t>
      </w:r>
      <w:r w:rsidR="000A758A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292AAB">
        <w:rPr>
          <w:iCs/>
          <w:sz w:val="28"/>
          <w:szCs w:val="28"/>
        </w:rPr>
        <w:t>Трошина</w:t>
      </w:r>
      <w:r w:rsidR="00292AAB">
        <w:rPr>
          <w:iCs/>
          <w:sz w:val="28"/>
          <w:szCs w:val="28"/>
        </w:rPr>
        <w:t xml:space="preserve"> Алексея Викторовича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C67C9F">
        <w:rPr>
          <w:iCs/>
          <w:sz w:val="28"/>
          <w:szCs w:val="28"/>
        </w:rPr>
        <w:t>1 (одни</w:t>
      </w:r>
      <w:r w:rsidR="0038539B">
        <w:rPr>
          <w:iCs/>
          <w:sz w:val="28"/>
          <w:szCs w:val="28"/>
        </w:rPr>
        <w:t>)</w:t>
      </w:r>
      <w:r w:rsidR="00394C6D">
        <w:rPr>
          <w:iCs/>
          <w:sz w:val="28"/>
          <w:szCs w:val="28"/>
        </w:rPr>
        <w:t xml:space="preserve"> сут</w:t>
      </w:r>
      <w:r w:rsidR="00C67C9F"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292AAB">
        <w:rPr>
          <w:iCs/>
          <w:sz w:val="28"/>
          <w:szCs w:val="28"/>
        </w:rPr>
        <w:t>11:00</w:t>
      </w:r>
      <w:r w:rsidR="00AC178D">
        <w:rPr>
          <w:iCs/>
          <w:sz w:val="28"/>
          <w:szCs w:val="28"/>
        </w:rPr>
        <w:t xml:space="preserve"> </w:t>
      </w:r>
      <w:r w:rsidR="00292AAB">
        <w:rPr>
          <w:iCs/>
          <w:sz w:val="28"/>
          <w:szCs w:val="28"/>
        </w:rPr>
        <w:t>29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C67C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A758A"/>
    <w:rsid w:val="000C0998"/>
    <w:rsid w:val="000F6D49"/>
    <w:rsid w:val="00110185"/>
    <w:rsid w:val="00181378"/>
    <w:rsid w:val="00190F50"/>
    <w:rsid w:val="001A58F7"/>
    <w:rsid w:val="00292AAB"/>
    <w:rsid w:val="002A1EBF"/>
    <w:rsid w:val="002F31A9"/>
    <w:rsid w:val="002F7B67"/>
    <w:rsid w:val="0038539B"/>
    <w:rsid w:val="00394C6D"/>
    <w:rsid w:val="003E4068"/>
    <w:rsid w:val="00401E23"/>
    <w:rsid w:val="004E330C"/>
    <w:rsid w:val="00535032"/>
    <w:rsid w:val="00536CCF"/>
    <w:rsid w:val="0060433B"/>
    <w:rsid w:val="006114D2"/>
    <w:rsid w:val="006A1949"/>
    <w:rsid w:val="006B19BF"/>
    <w:rsid w:val="006B202E"/>
    <w:rsid w:val="006C375A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267EA"/>
    <w:rsid w:val="00831551"/>
    <w:rsid w:val="00850234"/>
    <w:rsid w:val="00875B10"/>
    <w:rsid w:val="00945B73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67C9F"/>
    <w:rsid w:val="00C70390"/>
    <w:rsid w:val="00C92773"/>
    <w:rsid w:val="00D4664A"/>
    <w:rsid w:val="00F643DC"/>
    <w:rsid w:val="00F72BB9"/>
    <w:rsid w:val="00FA296A"/>
    <w:rsid w:val="00FD7B78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