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D4664A">
        <w:rPr>
          <w:color w:val="000000"/>
          <w:sz w:val="28"/>
          <w:szCs w:val="28"/>
        </w:rPr>
        <w:t>16</w:t>
      </w:r>
      <w:r w:rsidR="00C67C9F"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001051</w:t>
      </w:r>
      <w:r w:rsidR="00AF44BE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88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Сафиуллина </w:t>
      </w:r>
      <w:r>
        <w:rPr>
          <w:rFonts w:ascii="Times New Roman" w:hAnsi="Times New Roman" w:cs="Times New Roman"/>
          <w:iCs/>
          <w:sz w:val="28"/>
          <w:szCs w:val="28"/>
        </w:rPr>
        <w:t>Асгата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Азгаровича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BB2D23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30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01</w:t>
      </w:r>
      <w:r w:rsidR="00110185">
        <w:rPr>
          <w:iCs/>
          <w:sz w:val="28"/>
          <w:szCs w:val="28"/>
        </w:rPr>
        <w:t xml:space="preserve"> час</w:t>
      </w:r>
      <w:r w:rsidR="00AC17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Сафиуллин А.А.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BB2D23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C67C9F">
        <w:rPr>
          <w:iCs/>
          <w:sz w:val="28"/>
          <w:szCs w:val="28"/>
        </w:rPr>
        <w:t>Сафиуллин А.А.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>Сафиуллин А.А.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C67C9F">
        <w:rPr>
          <w:rFonts w:ascii="Times New Roman" w:hAnsi="Times New Roman" w:cs="Times New Roman"/>
          <w:iCs/>
          <w:sz w:val="28"/>
          <w:szCs w:val="28"/>
        </w:rPr>
        <w:t>30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C67C9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 w:rsidR="00C67C9F">
        <w:rPr>
          <w:rFonts w:ascii="Times New Roman" w:hAnsi="Times New Roman" w:cs="Times New Roman"/>
          <w:iCs/>
          <w:sz w:val="28"/>
          <w:szCs w:val="28"/>
        </w:rPr>
        <w:t>3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C67C9F">
        <w:rPr>
          <w:rFonts w:ascii="Times New Roman" w:hAnsi="Times New Roman" w:cs="Times New Roman"/>
          <w:iCs/>
          <w:sz w:val="28"/>
          <w:szCs w:val="28"/>
        </w:rPr>
        <w:t>Александрова В.И.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(л.д. </w:t>
      </w:r>
      <w:r w:rsidR="00C67C9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C67C9F">
        <w:rPr>
          <w:rFonts w:ascii="Times New Roman" w:hAnsi="Times New Roman" w:cs="Times New Roman"/>
          <w:iCs/>
          <w:sz w:val="28"/>
          <w:szCs w:val="28"/>
        </w:rPr>
        <w:t>30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>01 час 10 минут Сафиуллин А.А.  находился в общественном месте: возле магазина «</w:t>
      </w:r>
      <w:r w:rsidR="00BB2D23">
        <w:rPr>
          <w:rFonts w:ascii="Times New Roman" w:hAnsi="Times New Roman" w:cs="Times New Roman"/>
          <w:iCs/>
          <w:sz w:val="28"/>
          <w:szCs w:val="28"/>
        </w:rPr>
        <w:t>***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>» по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D23">
        <w:rPr>
          <w:rFonts w:ascii="Times New Roman" w:hAnsi="Times New Roman" w:cs="Times New Roman"/>
          <w:iCs/>
          <w:sz w:val="28"/>
          <w:szCs w:val="28"/>
        </w:rPr>
        <w:t>***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7C9F" w:rsidR="00C67C9F">
        <w:rPr>
          <w:rFonts w:ascii="Times New Roman" w:hAnsi="Times New Roman" w:cs="Times New Roman"/>
          <w:iCs/>
          <w:sz w:val="28"/>
          <w:szCs w:val="28"/>
        </w:rPr>
        <w:t>города</w:t>
      </w:r>
      <w:r w:rsidRPr="00C67C9F" w:rsidR="00C67C9F">
        <w:rPr>
          <w:rFonts w:ascii="Times New Roman" w:hAnsi="Times New Roman" w:cs="Times New Roman"/>
          <w:sz w:val="28"/>
          <w:szCs w:val="28"/>
        </w:rPr>
        <w:t> Набережные Челны Республики Татарстан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67C9F">
        <w:rPr>
          <w:rFonts w:ascii="Times New Roman" w:hAnsi="Times New Roman" w:cs="Times New Roman"/>
          <w:iCs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 1693 от 30.04.2022.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67C9F">
        <w:rPr>
          <w:rFonts w:ascii="Times New Roman" w:hAnsi="Times New Roman" w:cs="Times New Roman"/>
          <w:iCs/>
          <w:sz w:val="28"/>
          <w:szCs w:val="28"/>
        </w:rPr>
        <w:t>Сафиуллина А.А.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Сафиуллин А.А.</w:t>
      </w:r>
      <w:r w:rsidR="000A758A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C67C9F">
        <w:rPr>
          <w:iCs/>
          <w:sz w:val="28"/>
          <w:szCs w:val="28"/>
        </w:rPr>
        <w:t xml:space="preserve">Сафиуллина </w:t>
      </w:r>
      <w:r w:rsidR="00C67C9F">
        <w:rPr>
          <w:iCs/>
          <w:sz w:val="28"/>
          <w:szCs w:val="28"/>
        </w:rPr>
        <w:t>Асгата</w:t>
      </w:r>
      <w:r w:rsidR="00C67C9F">
        <w:rPr>
          <w:iCs/>
          <w:sz w:val="28"/>
          <w:szCs w:val="28"/>
        </w:rPr>
        <w:t xml:space="preserve"> </w:t>
      </w:r>
      <w:r w:rsidR="00C67C9F">
        <w:rPr>
          <w:iCs/>
          <w:sz w:val="28"/>
          <w:szCs w:val="28"/>
        </w:rPr>
        <w:t>Азгаровича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C67C9F">
        <w:rPr>
          <w:iCs/>
          <w:sz w:val="28"/>
          <w:szCs w:val="28"/>
        </w:rPr>
        <w:t>1 (одни</w:t>
      </w:r>
      <w:r w:rsidR="0038539B">
        <w:rPr>
          <w:iCs/>
          <w:sz w:val="28"/>
          <w:szCs w:val="28"/>
        </w:rPr>
        <w:t>)</w:t>
      </w:r>
      <w:r w:rsidR="00394C6D">
        <w:rPr>
          <w:iCs/>
          <w:sz w:val="28"/>
          <w:szCs w:val="28"/>
        </w:rPr>
        <w:t xml:space="preserve"> сут</w:t>
      </w:r>
      <w:r w:rsidR="00C67C9F"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C67C9F">
        <w:rPr>
          <w:iCs/>
          <w:sz w:val="28"/>
          <w:szCs w:val="28"/>
        </w:rPr>
        <w:t>01</w:t>
      </w:r>
      <w:r w:rsidR="00945B73">
        <w:rPr>
          <w:iCs/>
          <w:sz w:val="28"/>
          <w:szCs w:val="28"/>
        </w:rPr>
        <w:t>:25</w:t>
      </w:r>
      <w:r w:rsidR="00AC178D">
        <w:rPr>
          <w:iCs/>
          <w:sz w:val="28"/>
          <w:szCs w:val="28"/>
        </w:rPr>
        <w:t xml:space="preserve"> </w:t>
      </w:r>
      <w:r w:rsidR="00945B73">
        <w:rPr>
          <w:iCs/>
          <w:sz w:val="28"/>
          <w:szCs w:val="28"/>
        </w:rPr>
        <w:t>30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C67C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758A"/>
    <w:rsid w:val="000C0998"/>
    <w:rsid w:val="000F6D49"/>
    <w:rsid w:val="00110185"/>
    <w:rsid w:val="00181378"/>
    <w:rsid w:val="00190F50"/>
    <w:rsid w:val="001A58F7"/>
    <w:rsid w:val="002A1EBF"/>
    <w:rsid w:val="002F31A9"/>
    <w:rsid w:val="002F7B67"/>
    <w:rsid w:val="0038539B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945B73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B2D23"/>
    <w:rsid w:val="00BF0B40"/>
    <w:rsid w:val="00C005D0"/>
    <w:rsid w:val="00C67C9F"/>
    <w:rsid w:val="00C70390"/>
    <w:rsid w:val="00C92773"/>
    <w:rsid w:val="00D4664A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