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16MS0059-01-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000946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Набережные Челны Республики Татарстан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статьёй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Шаймарданова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9rplc-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родившегося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6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ExternalSystemDefinedgrp-2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Набережные Челны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4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адресу: дом </w:t>
      </w:r>
      <w:r>
        <w:rPr>
          <w:rFonts w:ascii="Times New Roman" w:eastAsia="Times New Roman" w:hAnsi="Times New Roman" w:cs="Times New Roman"/>
          <w:sz w:val="27"/>
          <w:szCs w:val="27"/>
        </w:rPr>
        <w:t>20/05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квартира </w:t>
      </w:r>
      <w:r>
        <w:rPr>
          <w:rFonts w:ascii="Times New Roman" w:eastAsia="Times New Roman" w:hAnsi="Times New Roman" w:cs="Times New Roman"/>
          <w:sz w:val="27"/>
          <w:szCs w:val="27"/>
        </w:rPr>
        <w:t>242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Набережные Челны Республики Татарстан, 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мебельщиком в «</w:t>
      </w:r>
      <w:r>
        <w:rPr>
          <w:rFonts w:ascii="Times New Roman" w:eastAsia="Times New Roman" w:hAnsi="Times New Roman" w:cs="Times New Roman"/>
          <w:sz w:val="27"/>
          <w:szCs w:val="27"/>
        </w:rPr>
        <w:t>Арай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Логистик»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женатого, имеющего на иждивении двух детей</w:t>
      </w:r>
      <w:r>
        <w:rPr>
          <w:rFonts w:ascii="Times New Roman" w:eastAsia="Times New Roman" w:hAnsi="Times New Roman" w:cs="Times New Roman"/>
          <w:sz w:val="27"/>
          <w:szCs w:val="27"/>
        </w:rPr>
        <w:t>, инвалидности не имеющего,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47/17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</w:t>
      </w:r>
      <w:r>
        <w:rPr>
          <w:rStyle w:val="cat-FIOgrp-10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 протоколом об административном правонарушении от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), рапортом сотрудника полиции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3), объяснением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из которых видно, что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месте: возле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47/17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>
        <w:rPr>
          <w:rFonts w:ascii="Times New Roman" w:eastAsia="Times New Roman" w:hAnsi="Times New Roman" w:cs="Times New Roman"/>
          <w:sz w:val="28"/>
          <w:szCs w:val="28"/>
        </w:rPr>
        <w:t>, результатами освидетельствования на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стояние алкогольного опьянения, согласно которым объём алкоголя в выдыхаемом воздухе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1,131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(л</w:t>
      </w:r>
      <w:r>
        <w:rPr>
          <w:rFonts w:ascii="Times New Roman" w:eastAsia="Times New Roman" w:hAnsi="Times New Roman" w:cs="Times New Roman"/>
          <w:sz w:val="28"/>
          <w:szCs w:val="28"/>
        </w:rPr>
        <w:t>.д.5,6,7-8).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Содеянное </w:t>
      </w:r>
      <w:r>
        <w:rPr>
          <w:rStyle w:val="cat-FIOgrp-10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 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 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Изучением личности </w:t>
      </w:r>
      <w:r>
        <w:rPr>
          <w:rStyle w:val="cat-FIOgrp-10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установлено, что он </w:t>
      </w:r>
      <w:r>
        <w:rPr>
          <w:rFonts w:ascii="Times New Roman" w:eastAsia="Times New Roman" w:hAnsi="Times New Roman" w:cs="Times New Roman"/>
          <w:sz w:val="27"/>
          <w:szCs w:val="27"/>
        </w:rPr>
        <w:t>женат, имеет на иждивении двух детей</w:t>
      </w:r>
      <w:r>
        <w:rPr>
          <w:rFonts w:ascii="Times New Roman" w:eastAsia="Times New Roman" w:hAnsi="Times New Roman" w:cs="Times New Roman"/>
          <w:sz w:val="27"/>
          <w:szCs w:val="27"/>
        </w:rPr>
        <w:t>, работает.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качестве смягчающих вину обстоятельств суд учитывает признание вины.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личности правонарушителя, смягчающих вину обстоятельств, суд 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29.10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Шаймарданова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9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ExternalSystemDefinedgrp-23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6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Набережные Челны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правонарушения, предусмотренного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наказание в виде административного штрафа в размере </w:t>
      </w:r>
      <w:r>
        <w:rPr>
          <w:rStyle w:val="cat-Sumgrp-13rplc-3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штрафа - УФК по РТ (Министерство юстиции </w:t>
      </w:r>
      <w:r>
        <w:rPr>
          <w:rStyle w:val="cat-Addressgrp-2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КПП </w:t>
      </w:r>
      <w:r>
        <w:rPr>
          <w:rStyle w:val="cat-PhoneNumbergrp-19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получателя </w:t>
      </w:r>
      <w:r>
        <w:rPr>
          <w:rStyle w:val="cat-PhoneNumbergrp-20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92 </w:t>
      </w:r>
      <w:r>
        <w:rPr>
          <w:rStyle w:val="cat-PhoneNumbergrp-21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счёта получателя платежа 03100643000000011100, в Отделение – НБ </w:t>
      </w:r>
      <w:r>
        <w:rPr>
          <w:rStyle w:val="cat-Addressgrp-2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России, БИК </w:t>
      </w:r>
      <w:r>
        <w:rPr>
          <w:rStyle w:val="cat-PhoneNumbergrp-22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корр</w:t>
      </w:r>
      <w:r>
        <w:rPr>
          <w:rFonts w:ascii="Times New Roman" w:eastAsia="Times New Roman" w:hAnsi="Times New Roman" w:cs="Times New Roman"/>
          <w:sz w:val="27"/>
          <w:szCs w:val="27"/>
        </w:rPr>
        <w:t>/счёт 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40102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810445370000079, КБК 73111601203010021140, идентификатор </w:t>
      </w:r>
      <w:r>
        <w:rPr>
          <w:rFonts w:ascii="Times New Roman" w:eastAsia="Times New Roman" w:hAnsi="Times New Roman" w:cs="Times New Roman"/>
          <w:sz w:val="27"/>
          <w:szCs w:val="27"/>
        </w:rPr>
        <w:t>0318690900000000028094629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 об уплате штрафа необходимо предоставить в судебный участок (пр.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Набережночелнинский, 31 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Набережные Челны РТ).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вынесения в Набережночелнинский городской суд </w:t>
      </w:r>
      <w:r>
        <w:rPr>
          <w:rStyle w:val="cat-Addressgrp-2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Султеева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Копия верна.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Мировой судья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2">
    <w:name w:val="cat-Date grp-5 rplc-2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ExternalSystemDefinedgrp-23rplc-9">
    <w:name w:val="cat-ExternalSystemDefined grp-23 rplc-9"/>
    <w:basedOn w:val="DefaultParagraphFont"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Timegrp-16rplc-23">
    <w:name w:val="cat-Time grp-16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FIOgrp-9rplc-30">
    <w:name w:val="cat-FIO grp-9 rplc-30"/>
    <w:basedOn w:val="DefaultParagraphFont"/>
  </w:style>
  <w:style w:type="character" w:customStyle="1" w:styleId="cat-ExternalSystemDefinedgrp-23rplc-32">
    <w:name w:val="cat-ExternalSystemDefined grp-23 rplc-32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PassportDatagrp-15rplc-34">
    <w:name w:val="cat-PassportData grp-15 rplc-34"/>
    <w:basedOn w:val="DefaultParagraphFont"/>
  </w:style>
  <w:style w:type="character" w:customStyle="1" w:styleId="cat-Sumgrp-13rplc-35">
    <w:name w:val="cat-Sum grp-13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PhoneNumbergrp-19rplc-37">
    <w:name w:val="cat-PhoneNumber grp-19 rplc-37"/>
    <w:basedOn w:val="DefaultParagraphFont"/>
  </w:style>
  <w:style w:type="character" w:customStyle="1" w:styleId="cat-PhoneNumbergrp-20rplc-38">
    <w:name w:val="cat-PhoneNumber grp-20 rplc-38"/>
    <w:basedOn w:val="DefaultParagraphFont"/>
  </w:style>
  <w:style w:type="character" w:customStyle="1" w:styleId="cat-PhoneNumbergrp-21rplc-39">
    <w:name w:val="cat-PhoneNumber grp-2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PhoneNumbergrp-22rplc-41">
    <w:name w:val="cat-PhoneNumber grp-22 rplc-41"/>
    <w:basedOn w:val="DefaultParagraphFont"/>
  </w:style>
  <w:style w:type="character" w:customStyle="1" w:styleId="cat-Addressgrp-2rplc-44">
    <w:name w:val="cat-Address grp-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