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№ 5- _______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540"/>
        <w:jc w:val="both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родившегося </w:t>
      </w:r>
      <w:r>
        <w:rPr>
          <w:rStyle w:val="cat-Dategrp-5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холостого, 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4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Елабужского городского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суда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Елабужского городского суда </w:t>
      </w:r>
      <w:r>
        <w:rPr>
          <w:rStyle w:val="cat-Addressgrp-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установлении дополнительных ограничений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запрета пребывания вне жилого помещения, являющегося местом жительства в период с </w:t>
      </w:r>
      <w:r>
        <w:rPr>
          <w:rStyle w:val="cat-Timegrp-20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Style w:val="cat-Timegrp-21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2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отсутствовал по адресу: </w:t>
      </w:r>
      <w:r>
        <w:rPr>
          <w:rStyle w:val="cat-Addressgrp-3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Ранее, в течение года,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в указанное время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на работ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письменными материалами дела, а именно протоколом об административном правонарушении; копиями решений Елабужского городского суда </w:t>
      </w:r>
      <w:r>
        <w:rPr>
          <w:rStyle w:val="cat-Addressgrp-1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сотрудника полиции;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посещения поднадзорного лица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поднадзорного лица;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Оснований не доверять составленным по делу процессуальным документам не имеется.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признает несостоятельными, поскольку доказательств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нахождения его на работе в указанное время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 не представлены.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Кроме того </w:t>
      </w:r>
      <w:r>
        <w:rPr>
          <w:rFonts w:ascii="Times New Roman" w:eastAsia="Times New Roman" w:hAnsi="Times New Roman" w:cs="Times New Roman"/>
          <w:sz w:val="26"/>
          <w:szCs w:val="26"/>
        </w:rPr>
        <w:t>для исполнения ограничений, установленных судом,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предусмотрены четкие сроки и порядок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действий, нарушение которых влечет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считает, что вина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доказана и действия его квалифицирует по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8rplc-3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руководствуется общими правилами 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неоднократность привлечения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ответственности, а также то, что иные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виды административного наказания не связанные с изоляцией от общества должного воздействия на правонарушителя не оказывают мировой судья приходит к выводу о необходимости назначения наказания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 предусмотренного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ареста сроком на 10 суток, исчисляя срок административного ареста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Timegrp-23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либо непосредственно в городской суд.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Timegrp-21rplc-19">
    <w:name w:val="cat-Time grp-21 rplc-19"/>
    <w:basedOn w:val="DefaultParagraphFont"/>
  </w:style>
  <w:style w:type="character" w:customStyle="1" w:styleId="cat-Timegrp-22rplc-20">
    <w:name w:val="cat-Time grp-22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SumInWordsgrp-18rplc-33">
    <w:name w:val="cat-SumInWords grp-18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Timegrp-23rplc-38">
    <w:name w:val="cat-Time grp-23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