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324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УИД 16М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left="4248" w:firstLine="708"/>
        <w:jc w:val="right"/>
      </w:pP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№ 4 по Елабужскому судебному району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3.8 Кодекса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Timegrp-17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8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шумел,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громко </w:t>
      </w:r>
      <w:r>
        <w:rPr>
          <w:rFonts w:ascii="Times New Roman" w:eastAsia="Times New Roman" w:hAnsi="Times New Roman" w:cs="Times New Roman"/>
          <w:sz w:val="28"/>
          <w:szCs w:val="28"/>
        </w:rPr>
        <w:t>слушал музыку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покой граждан и тишину в ночное время.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sz w:val="28"/>
          <w:szCs w:val="28"/>
        </w:rPr>
        <w:t>адлежащим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дате, месте и времени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поступало. В соответствии с ч. 2 ст. 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дело рассмотрено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в отношении которого составлен протокол,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объяснением с признанием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свидетелей,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5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 под ночным временем 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«период времени с 22.00 часов до 6.00 часов в рабочие дни, а в выходные и нерабочие праздничные дни - с 22.00 часов до 9.00 часов»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3.8 Кодекса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ExternalSystemDefinedgrp-21rplc-9">
    <w:name w:val="cat-ExternalSystemDefined grp-21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PassportDatagrp-16rplc-12">
    <w:name w:val="cat-PassportData grp-16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Timegrp-17rplc-14">
    <w:name w:val="cat-Time grp-17 rplc-14"/>
    <w:basedOn w:val="DefaultParagraphFont"/>
  </w:style>
  <w:style w:type="character" w:customStyle="1" w:styleId="cat-Timegrp-18rplc-15">
    <w:name w:val="cat-Time grp-18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SumInWordsgrp-15rplc-23">
    <w:name w:val="cat-SumInWords grp-15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