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206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16MS0103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частью 2 статьи 15.33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№ 13 </w:t>
      </w:r>
      <w:r>
        <w:rPr>
          <w:rFonts w:ascii="Times New Roman" w:eastAsia="Times New Roman" w:hAnsi="Times New Roman" w:cs="Times New Roman"/>
          <w:sz w:val="28"/>
          <w:szCs w:val="28"/>
        </w:rPr>
        <w:t>ГУ-РО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проверка своевременности предоставления расчета по начисленным и уплаченным страховым взносам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было обнаружено,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филиал расчет по начисленным и уплаченным страховым взносам формы № 4-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форме электронного документа – не позднее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 о выявленном правонарушении, выпиской из журнала учета страхователей,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2 статьи 15.33 Кодекса Российской Федерации об административных правонарушениях,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трахования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что влечет наложение административного штрафа на 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в размере от трехсот до </w:t>
      </w:r>
      <w:r>
        <w:rPr>
          <w:rStyle w:val="cat-SumInWordsgrp-17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КоАП РФ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2 статьи 15.33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8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У-РО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 РТ</w:t>
      </w:r>
      <w:r>
        <w:rPr>
          <w:rFonts w:ascii="Times New Roman" w:eastAsia="Times New Roman" w:hAnsi="Times New Roman" w:cs="Times New Roman"/>
          <w:sz w:val="28"/>
          <w:szCs w:val="28"/>
        </w:rPr>
        <w:t>, л/с 0411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2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№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39311607090070000140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40102810445370000079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указанием в типе платежа (110) 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(административный штраф); в назначении платежа (24) регистрационный номер страхователя.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на судебный участок № 4 по Елабужскому судебному району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InWordsgrp-17rplc-20">
    <w:name w:val="cat-SumInWords grp-17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2rplc-24">
    <w:name w:val="cat-PhoneNumber grp-22 rplc-24"/>
    <w:basedOn w:val="DefaultParagraphFont"/>
  </w:style>
  <w:style w:type="character" w:customStyle="1" w:styleId="cat-PhoneNumbergrp-23rplc-25">
    <w:name w:val="cat-PhoneNumber grp-23 rplc-25"/>
    <w:basedOn w:val="DefaultParagraphFont"/>
  </w:style>
  <w:style w:type="character" w:customStyle="1" w:styleId="cat-PhoneNumbergrp-24rplc-26">
    <w:name w:val="cat-PhoneNumber grp-2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