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Камском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слесарем в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состоящего на учете в наркологическом отделении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 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выкуривания,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«дельта-9-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7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20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1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