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/4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17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8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3.8 Кодекса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ExternalSystemDefinedgrp-1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оператором в </w:t>
      </w:r>
      <w:r>
        <w:rPr>
          <w:rStyle w:val="cat-OrganizationNamegrp-15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вергавшегося административному наказанию,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6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квартире № 24 дома № 5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мотрел на громком звуке телевизор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нарушил покой </w:t>
      </w:r>
      <w:r>
        <w:rPr>
          <w:rFonts w:ascii="Times New Roman" w:eastAsia="Times New Roman" w:hAnsi="Times New Roman" w:cs="Times New Roman"/>
          <w:sz w:val="28"/>
          <w:szCs w:val="28"/>
        </w:rPr>
        <w:t>граждан и тишину в ночное время.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дате, месте и времени судебного заседания, причины неявки мировому судье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рассмотрения дела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поступало.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дело рассмотрено в отсутствии последн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мировой судья считает, что вина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исследованными материалами дела, а 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сообщением о происшествии, заявлением и объяснением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3-ЗРТ "О соблюдении покоя граждан и тишины в ночное время"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ночным временем понимается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период времени с 22.00 часов до 6.00 часов в рабочие дни, а в выходные и нерабочие праздничные дни - с 22.00 часов до 9.00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действия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3.8 Кодекса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как нарушение покоя граждан и тишины в ночное время, что влечет предупреждение или наложение административного штрафа на граждан в размере от пятисот до </w:t>
      </w:r>
      <w:r>
        <w:rPr>
          <w:rStyle w:val="cat-SumInWordsgrp-14rplc-2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внимание обстоятельства дела, данные о личности пр</w:t>
      </w:r>
      <w:r>
        <w:rPr>
          <w:rFonts w:ascii="Times New Roman" w:eastAsia="Times New Roman" w:hAnsi="Times New Roman" w:cs="Times New Roman"/>
          <w:sz w:val="28"/>
          <w:szCs w:val="28"/>
        </w:rPr>
        <w:t>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3.8 Кодекса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копии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540"/>
        <w:jc w:val="both"/>
        <w:rPr>
          <w:sz w:val="20"/>
          <w:szCs w:val="20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15rplc-12">
    <w:name w:val="cat-OrganizationName grp-15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Timegrp-16rplc-14">
    <w:name w:val="cat-Time grp-16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SumInWordsgrp-14rplc-25">
    <w:name w:val="cat-SumInWords grp-14 rplc-25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