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7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6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холостого, неработающего,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ранее административному наказанию, инвалид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8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9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>елабуга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признал.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Style w:val="cat-Addressgrp-1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административного надзора; 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посещения поднадзорного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инвалидности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6rplc-2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учитывает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2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счёт №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03100643000000011100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ОТДЕЛЕНИЕ-НБ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8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//Управление Федерального казначейства по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,КБК </w:t>
      </w:r>
      <w:r>
        <w:rPr>
          <w:rFonts w:ascii="Times New Roman" w:eastAsia="Times New Roman" w:hAnsi="Times New Roman" w:cs="Times New Roman"/>
          <w:sz w:val="26"/>
          <w:szCs w:val="26"/>
        </w:rPr>
        <w:t>73111601193019000140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0318690900000000028081550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InWordsgrp-16rplc-25">
    <w:name w:val="cat-SumInWords grp-16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OrganizationNamegrp-18rplc-33">
    <w:name w:val="cat-OrganizationName grp-18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