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№ 5- _______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ind w:left="566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УИД__________________________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Dategrp-5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540"/>
        <w:jc w:val="both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0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родившегося </w:t>
      </w:r>
      <w:r>
        <w:rPr>
          <w:rStyle w:val="cat-Dategrp-6rplc-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ExternalSystemDefinedgrp-25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0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холостого, неработающего,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подвергавшегося ранее административному наказанию, инвалид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4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7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11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Елабужского 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</w:t>
      </w:r>
      <w:r>
        <w:rPr>
          <w:rStyle w:val="cat-Addressgrp-1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запрета пребывания вне жилого помещения, являющегося местом жительства в период с </w:t>
      </w:r>
      <w:r>
        <w:rPr>
          <w:rStyle w:val="cat-Timegrp-18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>
        <w:rPr>
          <w:rStyle w:val="cat-Timegrp-19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0rplc-1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часов отсутствовал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Ранее, в течение года, </w:t>
      </w:r>
      <w:r>
        <w:rPr>
          <w:rStyle w:val="cat-FIOgrp-11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1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свою вину признал.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1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письменными материалами дела, а именно протоколом об административном правонарушении;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Елабужского городского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суда </w:t>
      </w:r>
      <w:r>
        <w:rPr>
          <w:rStyle w:val="cat-Addressgrp-1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установлении административного надзора; рапортом сотрудника полиции;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акта посещения поднадзорного лица,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6"/>
          <w:szCs w:val="26"/>
        </w:rPr>
        <w:t>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справкой об инвалидности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не доверять составленным по делу процессуальным документам не имеется.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считает, что вина </w:t>
      </w:r>
      <w:r>
        <w:rPr>
          <w:rStyle w:val="cat-FIOgrp-13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5rplc-25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руководствуется общими правилами 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0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ему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 в размере </w:t>
      </w:r>
      <w:r>
        <w:rPr>
          <w:rStyle w:val="cat-Sumgrp-16rplc-2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Управление Федерального казначейства по </w:t>
      </w:r>
      <w:r>
        <w:rPr>
          <w:rStyle w:val="cat-Addressgrp-1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ИНН получателя </w:t>
      </w:r>
      <w:r>
        <w:rPr>
          <w:rStyle w:val="cat-PhoneNumbergrp-21rplc-3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2rplc-3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/счёт № 03100643000000011100, ОТДЕЛЕНИЕ-НБ </w:t>
      </w:r>
      <w:r>
        <w:rPr>
          <w:rStyle w:val="cat-Addressgrp-1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17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</w:t>
      </w:r>
      <w:r>
        <w:rPr>
          <w:rStyle w:val="cat-Addressgrp-4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 Управление Федерального казначейства по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>
        <w:rPr>
          <w:rStyle w:val="cat-PhoneNumbergrp-23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73111601193019000140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УИН: </w:t>
      </w:r>
      <w:r>
        <w:rPr>
          <w:rFonts w:ascii="Times New Roman" w:eastAsia="Times New Roman" w:hAnsi="Times New Roman" w:cs="Times New Roman"/>
          <w:sz w:val="26"/>
          <w:szCs w:val="26"/>
        </w:rPr>
        <w:t>0318690900000000027293555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административного штрафа необходимо представить на судебный участок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Елабужскому судебному району </w:t>
      </w:r>
      <w:r>
        <w:rPr>
          <w:rStyle w:val="cat-Addressgrp-1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либо непосредственно в городской суд.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4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1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Dategrp-6rplc-6">
    <w:name w:val="cat-Date grp-6 rplc-6"/>
    <w:basedOn w:val="DefaultParagraphFont"/>
  </w:style>
  <w:style w:type="character" w:customStyle="1" w:styleId="cat-ExternalSystemDefinedgrp-25rplc-5">
    <w:name w:val="cat-ExternalSystemDefined grp-25 rplc-5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18rplc-14">
    <w:name w:val="cat-Time grp-18 rplc-14"/>
    <w:basedOn w:val="DefaultParagraphFont"/>
  </w:style>
  <w:style w:type="character" w:customStyle="1" w:styleId="cat-Timegrp-19rplc-15">
    <w:name w:val="cat-Time grp-19 rplc-15"/>
    <w:basedOn w:val="DefaultParagraphFont"/>
  </w:style>
  <w:style w:type="character" w:customStyle="1" w:styleId="cat-Timegrp-20rplc-16">
    <w:name w:val="cat-Time grp-20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SumInWordsgrp-15rplc-25">
    <w:name w:val="cat-SumInWords grp-15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Sumgrp-16rplc-27">
    <w:name w:val="cat-Sum grp-16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PhoneNumbergrp-21rplc-30">
    <w:name w:val="cat-PhoneNumber grp-21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OrganizationNamegrp-17rplc-33">
    <w:name w:val="cat-OrganizationName grp-17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FIOgrp-14rplc-41">
    <w:name w:val="cat-FIO grp-1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