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203/2/2022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0101-</w:t>
      </w:r>
      <w:r>
        <w:rPr>
          <w:rStyle w:val="cat-PhoneNumbergrp-23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4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Style w:val="cat-OrganizationNamegrp-20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родивше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руководителем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п.2.2 п.2 ст.11 Федерального закона от </w:t>
      </w:r>
      <w:r>
        <w:rPr>
          <w:rStyle w:val="cat-Dategrp-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27-ФЗ «Об индивидуальном (персонифицированном) учете в системе обязательного пенсионного страхования», в Управление Пенсионного </w:t>
      </w:r>
      <w:r>
        <w:rPr>
          <w:rStyle w:val="cat-OrganizationNamegrp-21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май 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нарушены требования п.2.2 п. 2 ст. 11 ФЗ от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№ 27-ФЗ «Об индивидуальном (персонифицированном) учете в системе обязательного пенсионного страхования»,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установлена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 журнала учета,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направлении почтовой корреспонденции,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доказана и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ст.15.33.2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влечет наложение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на должностных лиц в размере от трехсот до </w:t>
      </w:r>
      <w:r>
        <w:rPr>
          <w:rStyle w:val="cat-SumInWordsgrp-16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ОПФР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5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6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счёт № 03100643000000011100, ОТДЕЛЕНИЕ-НБ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3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//Управление Федерального казначейства по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,КБК </w:t>
      </w:r>
      <w:r>
        <w:rPr>
          <w:rFonts w:ascii="Times New Roman" w:eastAsia="Times New Roman" w:hAnsi="Times New Roman" w:cs="Times New Roman"/>
          <w:sz w:val="26"/>
          <w:szCs w:val="26"/>
        </w:rPr>
        <w:t>39211601230060000140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платежном поручении указать в полях: указывать тип платежа-АШ (административный штраф), назначение платежа указать ФИО и регистрационный номер страхователя.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об уплате штрафа необходимо предоставить на судебный участок № 2 по Елабужскому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InWordsgrp-16rplc-23">
    <w:name w:val="cat-SumInWords grp-16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D010B898CE5B21755CB143B2AFCBC7CD4D2D9EEB9CBC7D4D060D7983FCDA91D3B56FA35572293B608842D2D667E2D4C940BA53962C2EAfDG0N" TargetMode="External" /><Relationship Id="rId5" Type="http://schemas.openxmlformats.org/officeDocument/2006/relationships/hyperlink" Target="consultantplus://offline/ref=1CAD010B898CE5B21755CB143B2AFCBC7CD5D7D6E9BDCBC7D4D060D7983FCDA91D3B56F23456229FEB52942964337A33458915A42762fCG0N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